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2963" w14:textId="5C348552" w:rsidR="009E7EF6" w:rsidRPr="00C450D1" w:rsidRDefault="009E7EF6" w:rsidP="007D3848">
      <w:pPr>
        <w:pStyle w:val="Heading1"/>
        <w:spacing w:before="100" w:beforeAutospacing="1" w:after="100" w:afterAutospacing="1" w:line="240" w:lineRule="auto"/>
        <w:ind w:right="1985"/>
        <w:contextualSpacing w:val="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321AED88" w14:textId="77777777" w:rsidR="00502D7A" w:rsidRPr="00502D7A" w:rsidRDefault="00502D7A" w:rsidP="00F40119">
      <w:pPr>
        <w:rPr>
          <w:b/>
          <w:bCs/>
          <w:color w:val="C00000"/>
        </w:rPr>
      </w:pPr>
      <w:r w:rsidRPr="00502D7A">
        <w:rPr>
          <w:b/>
          <w:bCs/>
          <w:color w:val="C00000"/>
        </w:rPr>
        <w:t xml:space="preserve">BREAKING NEWS: </w:t>
      </w:r>
    </w:p>
    <w:p w14:paraId="086EFC15" w14:textId="1D326A0B" w:rsidR="00BD5F9D" w:rsidRPr="00502D7A" w:rsidRDefault="00BD5F9D" w:rsidP="00F40119">
      <w:pPr>
        <w:rPr>
          <w:b/>
          <w:bCs/>
          <w:color w:val="3265B3" w:themeColor="accent4" w:themeShade="80"/>
        </w:rPr>
      </w:pPr>
      <w:r w:rsidRPr="00502D7A">
        <w:rPr>
          <w:b/>
          <w:bCs/>
          <w:color w:val="3265B3" w:themeColor="accent4" w:themeShade="80"/>
        </w:rPr>
        <w:t>RBA cuts target cash rate by 0.25% to 4.10% at RBA board meeting 18</w:t>
      </w:r>
      <w:r w:rsidRPr="00502D7A">
        <w:rPr>
          <w:b/>
          <w:bCs/>
          <w:color w:val="3265B3" w:themeColor="accent4" w:themeShade="80"/>
          <w:vertAlign w:val="superscript"/>
        </w:rPr>
        <w:t>th</w:t>
      </w:r>
      <w:r w:rsidRPr="00502D7A">
        <w:rPr>
          <w:b/>
          <w:bCs/>
          <w:color w:val="3265B3" w:themeColor="accent4" w:themeShade="80"/>
        </w:rPr>
        <w:t xml:space="preserve"> February 2025</w:t>
      </w:r>
    </w:p>
    <w:p w14:paraId="2B5D34C2" w14:textId="12EA1B96" w:rsidR="00502D7A" w:rsidRPr="00502D7A" w:rsidRDefault="00502D7A" w:rsidP="00F40119">
      <w:pPr>
        <w:rPr>
          <w:b/>
          <w:bCs/>
        </w:rPr>
      </w:pPr>
      <w:r w:rsidRPr="00502D7A">
        <w:rPr>
          <w:b/>
          <w:bCs/>
        </w:rPr>
        <w:t>Global Markets</w:t>
      </w:r>
    </w:p>
    <w:p w14:paraId="6A4A1123" w14:textId="2E55C46C" w:rsidR="00C7157C" w:rsidRDefault="00960F40" w:rsidP="00F40119">
      <w:r w:rsidRPr="00960F40">
        <w:t xml:space="preserve">The transition of power in the US </w:t>
      </w:r>
      <w:r w:rsidR="003E1A6E">
        <w:t xml:space="preserve">Government </w:t>
      </w:r>
      <w:r w:rsidRPr="00960F40">
        <w:t xml:space="preserve">was the main attraction over January 2025. </w:t>
      </w:r>
      <w:r w:rsidR="00C7157C">
        <w:t xml:space="preserve">The Democratics made way for the Republican Party led by President Donald Trump. </w:t>
      </w:r>
    </w:p>
    <w:p w14:paraId="53EAFE4D" w14:textId="1F601ED3" w:rsidR="00960F40" w:rsidRDefault="00960F40" w:rsidP="00F40119">
      <w:r w:rsidRPr="00960F40">
        <w:t>Markets were bullish initially, but this momentum faded as the Presidential executive orders rolled out changes and more recently, tariff</w:t>
      </w:r>
      <w:r>
        <w:t>s</w:t>
      </w:r>
      <w:r w:rsidRPr="00960F40">
        <w:t xml:space="preserve"> </w:t>
      </w:r>
      <w:r>
        <w:t xml:space="preserve">on imported steel and aluminium </w:t>
      </w:r>
      <w:r w:rsidRPr="00960F40">
        <w:t xml:space="preserve">being </w:t>
      </w:r>
      <w:r>
        <w:t>announced</w:t>
      </w:r>
      <w:r w:rsidRPr="00960F40">
        <w:t xml:space="preserve"> for Canada (25%), Mexico (25%) and China (10%). President Trump </w:t>
      </w:r>
      <w:r w:rsidR="00C7157C">
        <w:t xml:space="preserve">also </w:t>
      </w:r>
      <w:r w:rsidRPr="00960F40">
        <w:t xml:space="preserve">announced 25% tariffs for </w:t>
      </w:r>
      <w:r w:rsidRPr="00960F40">
        <w:rPr>
          <w:b/>
          <w:bCs/>
        </w:rPr>
        <w:t>all aluminium and steel imports</w:t>
      </w:r>
      <w:r w:rsidRPr="00960F40">
        <w:t xml:space="preserve"> which will have ramifications for Australia being two major commodity exports. </w:t>
      </w:r>
      <w:r w:rsidR="00C7157C">
        <w:t>The start date has been extended to mid-March 2025 after discussions with Australia’s Prime Minister, Anthony Albanese.</w:t>
      </w:r>
    </w:p>
    <w:p w14:paraId="22F9253E" w14:textId="77777777" w:rsidR="00AB1F56" w:rsidRDefault="00960F40" w:rsidP="00F40119">
      <w:r>
        <w:t>Compan</w:t>
      </w:r>
      <w:r w:rsidR="00AB1F56">
        <w:t xml:space="preserve">y reporting season is underway which will add a bit of volatility to the mix. Early signs are that most will </w:t>
      </w:r>
      <w:r w:rsidR="00AB1F56" w:rsidRPr="00AB1F56">
        <w:rPr>
          <w:b/>
          <w:bCs/>
        </w:rPr>
        <w:t>meet or exceed expectations</w:t>
      </w:r>
      <w:r w:rsidR="00AB1F56">
        <w:t xml:space="preserve"> so that should add some support to the equity market.</w:t>
      </w:r>
    </w:p>
    <w:p w14:paraId="4096F786" w14:textId="77777777" w:rsidR="00AB1F56" w:rsidRPr="00AB1F56" w:rsidRDefault="00AB1F56" w:rsidP="00AB1F56">
      <w:pPr>
        <w:rPr>
          <w:color w:val="auto"/>
        </w:rPr>
      </w:pPr>
      <w:r w:rsidRPr="00AB1F56">
        <w:rPr>
          <w:color w:val="auto"/>
        </w:rPr>
        <w:t>Most investors are still of the opinion that interest rates and inflation are heading lower over the medium to long term, however these short-term adjustments driven by market data and the US Federal Reserve (the Fed) awaits fresh inflation news to consider their next move.</w:t>
      </w:r>
    </w:p>
    <w:p w14:paraId="7AA29549" w14:textId="77777777" w:rsidR="00AB1F56" w:rsidRPr="00AB1F56" w:rsidRDefault="00AB1F56" w:rsidP="00AB1F56">
      <w:pPr>
        <w:rPr>
          <w:color w:val="auto"/>
        </w:rPr>
      </w:pPr>
      <w:r w:rsidRPr="00AB1F56">
        <w:rPr>
          <w:color w:val="auto"/>
        </w:rPr>
        <w:t xml:space="preserve">The Fed lowered the target cash rate by 0.25% to 4.25%-4.50% at its meeting held on the 19th of December 2024 however, left the target cash rate unchanged at the next meeting held on the 28/29 January 2025. A recent update given to the US Senate indicated hold may be on the cards for the near future: </w:t>
      </w:r>
    </w:p>
    <w:p w14:paraId="4A4607E8" w14:textId="77777777" w:rsidR="00AB1F56" w:rsidRPr="00AB1F56" w:rsidRDefault="00AB1F56" w:rsidP="00AB1F56">
      <w:pPr>
        <w:ind w:left="720"/>
        <w:rPr>
          <w:i/>
          <w:iCs/>
          <w:color w:val="auto"/>
        </w:rPr>
      </w:pPr>
      <w:r w:rsidRPr="00AB1F56">
        <w:rPr>
          <w:i/>
          <w:iCs/>
          <w:color w:val="auto"/>
        </w:rPr>
        <w:t xml:space="preserve">“As the economy evolves, we will adjust our policy stance in a manner that best promotes our maximum-employment and price-stability goals. If the economy remains strong and inflation does not continue to move sustainably toward 2 percent, </w:t>
      </w:r>
      <w:r w:rsidRPr="003E1A6E">
        <w:rPr>
          <w:b/>
          <w:bCs/>
          <w:i/>
          <w:iCs/>
          <w:color w:val="auto"/>
        </w:rPr>
        <w:t>we can maintain policy restraint for longer.</w:t>
      </w:r>
      <w:r w:rsidRPr="00AB1F56">
        <w:rPr>
          <w:i/>
          <w:iCs/>
          <w:color w:val="auto"/>
        </w:rPr>
        <w:t xml:space="preserve"> If the labor market were to weaken unexpectedly or inflation were to fall more quickly than anticipated, we can ease policy accordingly. We are attentive to the risks to both sides of our dual mandate, and policy is well positioned to deal with the risks and uncertainties that we face.” Source: The Board of Governors of the Federal Reserve System, Chair, Jerome Powell, 11th February 2025.</w:t>
      </w:r>
    </w:p>
    <w:p w14:paraId="64475292" w14:textId="257C7D98" w:rsidR="00FF15E7" w:rsidRDefault="00AB1F56" w:rsidP="00AB1F56">
      <w:pPr>
        <w:rPr>
          <w:b/>
          <w:bCs/>
        </w:rPr>
      </w:pPr>
      <w:r w:rsidRPr="00AB1F56">
        <w:rPr>
          <w:color w:val="auto"/>
        </w:rPr>
        <w:t>Inflation prints have revealed the US Inflation YOY edged up to 3.0% in January 2025 from 2.9% in December 2024. US Retail Sales MOM climbed by 0.4% in December 2024 down from revised 0.8% in November 2024.</w:t>
      </w:r>
      <w:r w:rsidR="00531BEC">
        <w:t xml:space="preserve"> </w:t>
      </w:r>
      <w:r w:rsidR="00FF15E7">
        <w:t xml:space="preserve">Investors </w:t>
      </w:r>
      <w:r w:rsidR="00D1117C">
        <w:t xml:space="preserve">are now feeling </w:t>
      </w:r>
      <w:r w:rsidR="0037124B">
        <w:t>less</w:t>
      </w:r>
      <w:r w:rsidR="00D1117C">
        <w:t xml:space="preserve"> convinced that the </w:t>
      </w:r>
      <w:r w:rsidR="00D1117C" w:rsidRPr="00D1117C">
        <w:rPr>
          <w:b/>
          <w:bCs/>
        </w:rPr>
        <w:t xml:space="preserve">Fed will </w:t>
      </w:r>
      <w:r w:rsidR="00A352A1">
        <w:rPr>
          <w:b/>
          <w:bCs/>
        </w:rPr>
        <w:t xml:space="preserve">continue to </w:t>
      </w:r>
      <w:r w:rsidR="00D1117C" w:rsidRPr="00D1117C">
        <w:rPr>
          <w:b/>
          <w:bCs/>
        </w:rPr>
        <w:t xml:space="preserve">ease </w:t>
      </w:r>
      <w:r w:rsidR="00D1117C">
        <w:t>at the next Fed meeting following the inflation print.</w:t>
      </w:r>
      <w:r w:rsidR="00B3221F">
        <w:t xml:space="preserve"> Core inflation Y-O-Y </w:t>
      </w:r>
      <w:r w:rsidR="006167B3">
        <w:t>was 3.</w:t>
      </w:r>
      <w:r w:rsidR="00C7157C">
        <w:t>3</w:t>
      </w:r>
      <w:r w:rsidR="006167B3">
        <w:t xml:space="preserve">0% for </w:t>
      </w:r>
      <w:r w:rsidR="00C7157C">
        <w:t>January</w:t>
      </w:r>
      <w:r w:rsidR="006167B3">
        <w:t xml:space="preserve"> 202</w:t>
      </w:r>
      <w:r w:rsidR="00C7157C">
        <w:t>5</w:t>
      </w:r>
      <w:r w:rsidR="00B3221F">
        <w:t xml:space="preserve">. Core </w:t>
      </w:r>
      <w:r w:rsidR="00B3221F">
        <w:lastRenderedPageBreak/>
        <w:t xml:space="preserve">inflation excludes volatile items such as food and energy. </w:t>
      </w:r>
      <w:r w:rsidR="00FA37D3">
        <w:t xml:space="preserve">The next </w:t>
      </w:r>
      <w:r w:rsidR="00FA37D3" w:rsidRPr="00FA37D3">
        <w:rPr>
          <w:b/>
          <w:bCs/>
        </w:rPr>
        <w:t xml:space="preserve">FOMC meeting on Monetary Policy is the </w:t>
      </w:r>
      <w:r w:rsidR="00C7157C">
        <w:rPr>
          <w:b/>
          <w:bCs/>
        </w:rPr>
        <w:t>18</w:t>
      </w:r>
      <w:r w:rsidR="006167B3">
        <w:rPr>
          <w:b/>
          <w:bCs/>
        </w:rPr>
        <w:t>/1</w:t>
      </w:r>
      <w:r w:rsidR="00C7157C">
        <w:rPr>
          <w:b/>
          <w:bCs/>
        </w:rPr>
        <w:t>9</w:t>
      </w:r>
      <w:r w:rsidR="00C7157C" w:rsidRPr="00C7157C">
        <w:rPr>
          <w:b/>
          <w:bCs/>
          <w:vertAlign w:val="superscript"/>
        </w:rPr>
        <w:t>th</w:t>
      </w:r>
      <w:r w:rsidR="00C7157C">
        <w:rPr>
          <w:b/>
          <w:bCs/>
        </w:rPr>
        <w:t xml:space="preserve"> </w:t>
      </w:r>
      <w:r w:rsidR="00FA37D3" w:rsidRPr="00FA37D3">
        <w:rPr>
          <w:b/>
          <w:bCs/>
        </w:rPr>
        <w:t xml:space="preserve">of </w:t>
      </w:r>
      <w:r w:rsidR="00C7157C">
        <w:rPr>
          <w:b/>
          <w:bCs/>
        </w:rPr>
        <w:t>March</w:t>
      </w:r>
      <w:r w:rsidR="00FA37D3" w:rsidRPr="00FA37D3">
        <w:rPr>
          <w:b/>
          <w:bCs/>
        </w:rPr>
        <w:t xml:space="preserve"> 202</w:t>
      </w:r>
      <w:r w:rsidR="006167B3">
        <w:rPr>
          <w:b/>
          <w:bCs/>
        </w:rPr>
        <w:t>5</w:t>
      </w:r>
      <w:r w:rsidR="00FA37D3" w:rsidRPr="00FA37D3">
        <w:rPr>
          <w:b/>
          <w:bCs/>
        </w:rPr>
        <w:t>.</w:t>
      </w:r>
    </w:p>
    <w:p w14:paraId="4FB7283A" w14:textId="77777777" w:rsidR="00502D7A" w:rsidRDefault="00EF1357" w:rsidP="00A352A1">
      <w:r>
        <w:t>For Australia, t</w:t>
      </w:r>
      <w:r w:rsidR="00A352A1">
        <w:t xml:space="preserve">he latest inflation prints for (year-on-year) </w:t>
      </w:r>
      <w:r w:rsidR="00AB1F56">
        <w:t>fourth</w:t>
      </w:r>
      <w:r w:rsidR="00A352A1">
        <w:t xml:space="preserve"> quarter of 2024 </w:t>
      </w:r>
      <w:r w:rsidR="00A352A1" w:rsidRPr="00024249">
        <w:rPr>
          <w:b/>
          <w:bCs/>
        </w:rPr>
        <w:t xml:space="preserve">was </w:t>
      </w:r>
      <w:r>
        <w:rPr>
          <w:b/>
          <w:bCs/>
        </w:rPr>
        <w:t>2</w:t>
      </w:r>
      <w:r w:rsidR="00A352A1" w:rsidRPr="00024249">
        <w:rPr>
          <w:b/>
          <w:bCs/>
        </w:rPr>
        <w:t>.</w:t>
      </w:r>
      <w:r w:rsidR="00AB1F56">
        <w:rPr>
          <w:b/>
          <w:bCs/>
        </w:rPr>
        <w:t>4</w:t>
      </w:r>
      <w:r w:rsidR="00A352A1" w:rsidRPr="00024249">
        <w:rPr>
          <w:b/>
          <w:bCs/>
        </w:rPr>
        <w:t>%</w:t>
      </w:r>
      <w:r w:rsidR="00A352A1">
        <w:t xml:space="preserve"> which was </w:t>
      </w:r>
      <w:r>
        <w:t>down</w:t>
      </w:r>
      <w:r w:rsidR="00A352A1">
        <w:t xml:space="preserve"> from the </w:t>
      </w:r>
      <w:r w:rsidR="00AB1F56">
        <w:t>2</w:t>
      </w:r>
      <w:r w:rsidR="00A352A1">
        <w:t>.</w:t>
      </w:r>
      <w:r>
        <w:t>8</w:t>
      </w:r>
      <w:r w:rsidR="00A352A1">
        <w:t xml:space="preserve">% in the </w:t>
      </w:r>
      <w:r w:rsidR="00AB1F56">
        <w:t>third</w:t>
      </w:r>
      <w:r w:rsidR="00A352A1">
        <w:t xml:space="preserve"> quarter of 2024</w:t>
      </w:r>
      <w:r w:rsidR="00B6680A">
        <w:t>.</w:t>
      </w:r>
      <w:r w:rsidR="00A352A1">
        <w:t xml:space="preserve"> </w:t>
      </w:r>
      <w:r w:rsidR="00B6680A">
        <w:t xml:space="preserve">The market awaits the next RBA board meeting, which is due this week, </w:t>
      </w:r>
      <w:r w:rsidR="00B6680A">
        <w:rPr>
          <w:b/>
          <w:bCs/>
        </w:rPr>
        <w:t>17-18</w:t>
      </w:r>
      <w:r w:rsidR="00B6680A" w:rsidRPr="00B8507E">
        <w:rPr>
          <w:b/>
          <w:bCs/>
          <w:vertAlign w:val="superscript"/>
        </w:rPr>
        <w:t>th</w:t>
      </w:r>
      <w:r w:rsidR="00B6680A">
        <w:rPr>
          <w:b/>
          <w:bCs/>
        </w:rPr>
        <w:t xml:space="preserve"> February 2025</w:t>
      </w:r>
      <w:r w:rsidR="00B6680A">
        <w:t xml:space="preserve">. </w:t>
      </w:r>
      <w:r w:rsidR="00502D7A" w:rsidRPr="00502D7A">
        <w:rPr>
          <w:b/>
          <w:bCs/>
          <w:color w:val="C00000"/>
        </w:rPr>
        <w:t>Please see Breaking News.</w:t>
      </w:r>
      <w:r w:rsidR="00502D7A" w:rsidRPr="00502D7A">
        <w:rPr>
          <w:color w:val="C00000"/>
        </w:rPr>
        <w:t xml:space="preserve"> </w:t>
      </w:r>
      <w:r w:rsidR="00502D7A">
        <w:rPr>
          <w:color w:val="C00000"/>
        </w:rPr>
        <w:t>T</w:t>
      </w:r>
      <w:r w:rsidR="00B6680A">
        <w:t xml:space="preserve">he RBA </w:t>
      </w:r>
      <w:r w:rsidR="00502D7A">
        <w:t xml:space="preserve">cut </w:t>
      </w:r>
      <w:r w:rsidR="00B6680A">
        <w:t xml:space="preserve">the target cash rate </w:t>
      </w:r>
      <w:r w:rsidR="00502D7A" w:rsidRPr="001257FA">
        <w:rPr>
          <w:b/>
          <w:bCs/>
        </w:rPr>
        <w:t>b</w:t>
      </w:r>
      <w:r w:rsidR="00B6680A" w:rsidRPr="001257FA">
        <w:rPr>
          <w:b/>
          <w:bCs/>
        </w:rPr>
        <w:t xml:space="preserve">y 25 basis points </w:t>
      </w:r>
      <w:r w:rsidR="00502D7A" w:rsidRPr="001257FA">
        <w:rPr>
          <w:b/>
          <w:bCs/>
        </w:rPr>
        <w:t xml:space="preserve"> to 4.10%</w:t>
      </w:r>
      <w:r w:rsidR="00502D7A">
        <w:t xml:space="preserve"> at today’s Monetary Policy meeting. </w:t>
      </w:r>
    </w:p>
    <w:p w14:paraId="383A9FAD" w14:textId="192230CF" w:rsidR="00A352A1" w:rsidRPr="00E72E45" w:rsidRDefault="00A352A1" w:rsidP="00A352A1">
      <w:pPr>
        <w:rPr>
          <w:b/>
          <w:bCs/>
        </w:rPr>
      </w:pPr>
      <w:r>
        <w:t xml:space="preserve">The </w:t>
      </w:r>
      <w:r w:rsidRPr="00E72E45">
        <w:rPr>
          <w:b/>
          <w:bCs/>
        </w:rPr>
        <w:t xml:space="preserve">next RBA meeting is </w:t>
      </w:r>
      <w:r w:rsidR="00B8507E">
        <w:rPr>
          <w:b/>
          <w:bCs/>
        </w:rPr>
        <w:t xml:space="preserve">on the </w:t>
      </w:r>
      <w:r w:rsidR="00B6680A">
        <w:rPr>
          <w:b/>
          <w:bCs/>
        </w:rPr>
        <w:t xml:space="preserve">31/01 March/April </w:t>
      </w:r>
      <w:r w:rsidR="00041762">
        <w:rPr>
          <w:b/>
          <w:bCs/>
        </w:rPr>
        <w:t>2025</w:t>
      </w:r>
      <w:r w:rsidR="00E26031">
        <w:rPr>
          <w:b/>
          <w:bCs/>
        </w:rPr>
        <w:t>.</w:t>
      </w:r>
    </w:p>
    <w:p w14:paraId="13AD9698" w14:textId="3130C943" w:rsidR="00A352A1" w:rsidRDefault="00FA37D3" w:rsidP="00A352A1">
      <w:pPr>
        <w:spacing w:before="120"/>
      </w:pPr>
      <w:r>
        <w:t>T</w:t>
      </w:r>
      <w:r w:rsidR="00A352A1">
        <w:t xml:space="preserve">he domestic house prices </w:t>
      </w:r>
      <w:r w:rsidR="00210AED">
        <w:t xml:space="preserve">are softening in </w:t>
      </w:r>
      <w:r w:rsidR="00A649C7">
        <w:t>several</w:t>
      </w:r>
      <w:r w:rsidR="00210AED">
        <w:t xml:space="preserve"> suburbs as </w:t>
      </w:r>
      <w:r w:rsidR="00A352A1">
        <w:t>interest rate</w:t>
      </w:r>
      <w:r w:rsidR="00210AED">
        <w:t xml:space="preserve">s remain on hold. </w:t>
      </w:r>
      <w:r w:rsidR="00A352A1">
        <w:t xml:space="preserve">This year </w:t>
      </w:r>
      <w:r w:rsidR="00210AED">
        <w:t xml:space="preserve">and 2025 </w:t>
      </w:r>
      <w:r w:rsidR="00A352A1">
        <w:t xml:space="preserve">will be challenging however, </w:t>
      </w:r>
      <w:r w:rsidR="00A352A1" w:rsidRPr="00EF169D">
        <w:rPr>
          <w:b/>
          <w:bCs/>
        </w:rPr>
        <w:t xml:space="preserve">the broader economy </w:t>
      </w:r>
      <w:r w:rsidR="003E1A6E">
        <w:rPr>
          <w:b/>
          <w:bCs/>
        </w:rPr>
        <w:t>is</w:t>
      </w:r>
      <w:r w:rsidR="00A352A1" w:rsidRPr="00EF169D">
        <w:rPr>
          <w:b/>
          <w:bCs/>
        </w:rPr>
        <w:t xml:space="preserve"> weathering the storm well </w:t>
      </w:r>
      <w:r w:rsidR="00A352A1">
        <w:t xml:space="preserve">given the mixed support from high immigration levels and the strong level of employment with unemployment </w:t>
      </w:r>
      <w:r w:rsidR="008E4335">
        <w:t xml:space="preserve">drifting higher </w:t>
      </w:r>
      <w:r w:rsidR="00363E96">
        <w:t xml:space="preserve">to </w:t>
      </w:r>
      <w:r w:rsidR="008E4335">
        <w:t>4.0</w:t>
      </w:r>
      <w:r w:rsidR="00363E96">
        <w:t xml:space="preserve">% in </w:t>
      </w:r>
      <w:r w:rsidR="008E4335">
        <w:t>Dec</w:t>
      </w:r>
      <w:r w:rsidR="00363E96">
        <w:t xml:space="preserve">ember 2024 </w:t>
      </w:r>
      <w:r w:rsidR="008E4335">
        <w:t>up</w:t>
      </w:r>
      <w:r w:rsidR="00363E96">
        <w:t xml:space="preserve"> from </w:t>
      </w:r>
      <w:r w:rsidR="008E4335">
        <w:t>3.9</w:t>
      </w:r>
      <w:r w:rsidR="00A352A1">
        <w:t xml:space="preserve">% in </w:t>
      </w:r>
      <w:r w:rsidR="008E4335">
        <w:t>Novem</w:t>
      </w:r>
      <w:r w:rsidR="00210AED">
        <w:t>ber</w:t>
      </w:r>
      <w:r w:rsidR="00A352A1">
        <w:t xml:space="preserve"> 2024.</w:t>
      </w:r>
    </w:p>
    <w:p w14:paraId="6E761528" w14:textId="33A298EB" w:rsidR="00A352A1" w:rsidRDefault="00A352A1" w:rsidP="00A352A1">
      <w:r>
        <w:t>From a risk return perspective, markets are improving:</w:t>
      </w:r>
    </w:p>
    <w:p w14:paraId="43E51706" w14:textId="49F77263" w:rsidR="00375195" w:rsidRDefault="00B6680A" w:rsidP="00A87065">
      <w:pPr>
        <w:jc w:val="center"/>
      </w:pPr>
      <w:r w:rsidRPr="0046611A">
        <w:rPr>
          <w:rFonts w:ascii="Calibri" w:hAnsi="Calibri" w:cs="Calibri"/>
          <w:b/>
          <w:bCs/>
          <w:noProof/>
          <w:color w:val="222222"/>
          <w:sz w:val="18"/>
          <w:szCs w:val="18"/>
          <w:shd w:val="clear" w:color="auto" w:fill="FFFFFF"/>
        </w:rPr>
        <w:drawing>
          <wp:inline distT="0" distB="0" distL="0" distR="0" wp14:anchorId="34EC1635" wp14:editId="10EECFD8">
            <wp:extent cx="5731510" cy="3995420"/>
            <wp:effectExtent l="0" t="0" r="2540" b="5080"/>
            <wp:docPr id="6030682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95420"/>
                    </a:xfrm>
                    <a:prstGeom prst="rect">
                      <a:avLst/>
                    </a:prstGeom>
                    <a:noFill/>
                    <a:ln>
                      <a:noFill/>
                    </a:ln>
                  </pic:spPr>
                </pic:pic>
              </a:graphicData>
            </a:graphic>
          </wp:inline>
        </w:drawing>
      </w:r>
    </w:p>
    <w:p w14:paraId="708850CE" w14:textId="5A1E0FDB" w:rsidR="00D712E9" w:rsidRDefault="00D712E9" w:rsidP="00D712E9">
      <w:r w:rsidRPr="00D712E9">
        <w:rPr>
          <w:sz w:val="18"/>
        </w:rPr>
        <w:t xml:space="preserve"> </w:t>
      </w:r>
      <w:r w:rsidRPr="00A70A09">
        <w:rPr>
          <w:sz w:val="18"/>
        </w:rPr>
        <w:t xml:space="preserve">Source data: Lonsec as of </w:t>
      </w:r>
      <w:r w:rsidR="00D528C0">
        <w:rPr>
          <w:sz w:val="18"/>
        </w:rPr>
        <w:t>3</w:t>
      </w:r>
      <w:r w:rsidR="008E4335">
        <w:rPr>
          <w:sz w:val="18"/>
        </w:rPr>
        <w:t>1</w:t>
      </w:r>
      <w:r w:rsidR="008E4335" w:rsidRPr="008E4335">
        <w:rPr>
          <w:sz w:val="18"/>
          <w:vertAlign w:val="superscript"/>
        </w:rPr>
        <w:t>st</w:t>
      </w:r>
      <w:r w:rsidR="008E4335">
        <w:rPr>
          <w:sz w:val="18"/>
        </w:rPr>
        <w:t xml:space="preserve"> </w:t>
      </w:r>
      <w:r w:rsidR="00B6680A">
        <w:rPr>
          <w:sz w:val="18"/>
        </w:rPr>
        <w:t>January</w:t>
      </w:r>
      <w:r w:rsidR="00B3221F">
        <w:rPr>
          <w:sz w:val="18"/>
        </w:rPr>
        <w:t xml:space="preserve"> </w:t>
      </w:r>
      <w:r>
        <w:rPr>
          <w:sz w:val="18"/>
        </w:rPr>
        <w:t>202</w:t>
      </w:r>
      <w:r w:rsidR="00B6680A">
        <w:rPr>
          <w:sz w:val="18"/>
        </w:rPr>
        <w:t>5</w:t>
      </w:r>
    </w:p>
    <w:p w14:paraId="484D77E5" w14:textId="0FF07B46" w:rsidR="00115DDA" w:rsidRDefault="00115DDA" w:rsidP="00115DDA">
      <w:r>
        <w:lastRenderedPageBreak/>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6664BFA6" w14:textId="584D4734" w:rsidR="008B2268" w:rsidRDefault="008B2268" w:rsidP="004E0CA0">
      <w:r>
        <w:t xml:space="preserve">The </w:t>
      </w:r>
      <w:r w:rsidR="009756E0">
        <w:t>issues at the forefront of investors thoughts included</w:t>
      </w:r>
      <w:r>
        <w:t>:</w:t>
      </w:r>
    </w:p>
    <w:p w14:paraId="34A13A22" w14:textId="73A2843F" w:rsidR="00360014" w:rsidRDefault="00360014" w:rsidP="003C40F3">
      <w:pPr>
        <w:pStyle w:val="ListParagraph"/>
        <w:numPr>
          <w:ilvl w:val="0"/>
          <w:numId w:val="8"/>
        </w:numPr>
      </w:pPr>
      <w:r>
        <w:t>US Politics –</w:t>
      </w:r>
      <w:r w:rsidR="008F66A2" w:rsidRPr="008F66A2">
        <w:t xml:space="preserve"> </w:t>
      </w:r>
      <w:r w:rsidR="00B6680A">
        <w:t xml:space="preserve"> President </w:t>
      </w:r>
      <w:r w:rsidR="008F66A2" w:rsidRPr="008F66A2">
        <w:t>Donald Trump is top of mind with expectations for a big shake up for trade tariffs, immigration, and climate</w:t>
      </w:r>
      <w:r w:rsidR="003E1A6E" w:rsidRPr="008F66A2">
        <w:t>.</w:t>
      </w:r>
      <w:r w:rsidR="003E1A6E">
        <w:t xml:space="preserve"> </w:t>
      </w:r>
      <w:r w:rsidR="00843E57">
        <w:t xml:space="preserve">We can now watch to see how this will impact Australia in terms of </w:t>
      </w:r>
      <w:r w:rsidR="00843E57" w:rsidRPr="001C71C7">
        <w:rPr>
          <w:b/>
          <w:bCs/>
        </w:rPr>
        <w:t>trade tariffs</w:t>
      </w:r>
      <w:r w:rsidR="00B6680A">
        <w:t xml:space="preserve"> after the iron-ore and steel </w:t>
      </w:r>
      <w:r w:rsidR="001C71C7">
        <w:t>announcement.</w:t>
      </w:r>
    </w:p>
    <w:p w14:paraId="568D4ABF" w14:textId="7AAD2CFC" w:rsidR="008C3AF3" w:rsidRDefault="008C3AF3" w:rsidP="003C40F3">
      <w:pPr>
        <w:pStyle w:val="ListParagraph"/>
        <w:numPr>
          <w:ilvl w:val="0"/>
          <w:numId w:val="8"/>
        </w:numPr>
      </w:pPr>
      <w:r>
        <w:t xml:space="preserve">Political conflict – the </w:t>
      </w:r>
      <w:r w:rsidR="00A97612">
        <w:t xml:space="preserve">ongoing </w:t>
      </w:r>
      <w:r>
        <w:t>war in the middle east for Israel</w:t>
      </w:r>
      <w:r w:rsidR="003627B9">
        <w:t>,</w:t>
      </w:r>
      <w:r>
        <w:t xml:space="preserve"> </w:t>
      </w:r>
      <w:r w:rsidR="00802E86">
        <w:t>H</w:t>
      </w:r>
      <w:r w:rsidR="00BC254C">
        <w:t>a</w:t>
      </w:r>
      <w:r w:rsidR="00802E86">
        <w:t>mas</w:t>
      </w:r>
      <w:r w:rsidR="003627B9">
        <w:t xml:space="preserve"> and now Hezbollah</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4E032AFD" w:rsidR="002A71FA" w:rsidRDefault="00601243" w:rsidP="003C40F3">
      <w:pPr>
        <w:pStyle w:val="ListParagraph"/>
        <w:numPr>
          <w:ilvl w:val="0"/>
          <w:numId w:val="8"/>
        </w:numPr>
      </w:pPr>
      <w:r>
        <w:t xml:space="preserve">Global growth </w:t>
      </w:r>
      <w:r w:rsidR="003E5CBD">
        <w:t xml:space="preserve">and Commodity Prices </w:t>
      </w:r>
      <w:r>
        <w:t xml:space="preserve">– </w:t>
      </w:r>
      <w:r w:rsidR="001415A2">
        <w:t>for our region</w:t>
      </w:r>
      <w:r w:rsidR="00D357C4">
        <w:t>,</w:t>
      </w:r>
      <w:r w:rsidR="001415A2">
        <w:t xml:space="preserve"> </w:t>
      </w:r>
      <w:r>
        <w:t xml:space="preserve">China is the focus with </w:t>
      </w:r>
      <w:r w:rsidR="001921CE">
        <w:t xml:space="preserve">growth prospects the central theme. </w:t>
      </w:r>
      <w:r w:rsidR="001C71C7">
        <w:t xml:space="preserve">China </w:t>
      </w:r>
      <w:r w:rsidR="001921CE">
        <w:t xml:space="preserve">GDP is resilient around the </w:t>
      </w:r>
      <w:r w:rsidR="001C71C7">
        <w:t>5.4</w:t>
      </w:r>
      <w:r w:rsidR="001921CE">
        <w:t>% level despite the property market concerns.</w:t>
      </w:r>
      <w:r>
        <w:t xml:space="preserve"> The </w:t>
      </w:r>
      <w:r w:rsidR="001921CE">
        <w:t xml:space="preserve">benefits of rekindling growth include productivity gains from which </w:t>
      </w:r>
      <w:r>
        <w:t xml:space="preserve">Australia will </w:t>
      </w:r>
      <w:r w:rsidR="001921CE">
        <w:t xml:space="preserve">also </w:t>
      </w:r>
      <w:r w:rsidR="001B08D3">
        <w:t>be</w:t>
      </w:r>
      <w:r w:rsidR="00764C50">
        <w:t>nefit</w:t>
      </w:r>
      <w:r>
        <w:t xml:space="preserve"> given, they are our biggest trading partner.</w:t>
      </w:r>
      <w:r w:rsidR="003E5CBD">
        <w:t xml:space="preserve"> The problem is the </w:t>
      </w:r>
      <w:r w:rsidR="003E5CBD" w:rsidRPr="003E5CBD">
        <w:rPr>
          <w:b/>
          <w:bCs/>
        </w:rPr>
        <w:t xml:space="preserve">falling </w:t>
      </w:r>
      <w:r w:rsidR="00843E57">
        <w:rPr>
          <w:b/>
          <w:bCs/>
        </w:rPr>
        <w:t xml:space="preserve">global </w:t>
      </w:r>
      <w:r w:rsidR="003E5CBD" w:rsidRPr="003E5CBD">
        <w:rPr>
          <w:b/>
          <w:bCs/>
        </w:rPr>
        <w:t xml:space="preserve">growth prospects </w:t>
      </w:r>
      <w:r w:rsidR="001C71C7">
        <w:rPr>
          <w:b/>
          <w:bCs/>
        </w:rPr>
        <w:t xml:space="preserve">for EV and alternative energy </w:t>
      </w:r>
      <w:r w:rsidR="003E5CBD" w:rsidRPr="003E5CBD">
        <w:rPr>
          <w:b/>
          <w:bCs/>
        </w:rPr>
        <w:t>has impacted the demand prices of oil, iron ore</w:t>
      </w:r>
      <w:r w:rsidR="003E5CBD">
        <w:t xml:space="preserve"> and other resources, except Gold which remains well supported</w:t>
      </w:r>
      <w:r w:rsidR="001C71C7">
        <w:t xml:space="preserve"> by Central Bank buying</w:t>
      </w:r>
      <w:r w:rsidR="003E5CBD">
        <w:t>.</w:t>
      </w:r>
    </w:p>
    <w:p w14:paraId="0D3E5B51" w14:textId="683749DD" w:rsidR="00BC11B5" w:rsidRDefault="00BC11B5" w:rsidP="003C40F3">
      <w:pPr>
        <w:pStyle w:val="ListParagraph"/>
        <w:numPr>
          <w:ilvl w:val="0"/>
          <w:numId w:val="8"/>
        </w:numPr>
      </w:pPr>
      <w:r>
        <w:t>Inflation</w:t>
      </w:r>
      <w:r w:rsidR="00FE30E8">
        <w:t xml:space="preserve"> numbers </w:t>
      </w:r>
      <w:r w:rsidR="00EB0473">
        <w:t xml:space="preserve">are </w:t>
      </w:r>
      <w:r w:rsidR="00FE30E8">
        <w:t xml:space="preserve">indicating a </w:t>
      </w:r>
      <w:r w:rsidR="003627B9">
        <w:t xml:space="preserve"> </w:t>
      </w:r>
      <w:r w:rsidR="003627B9" w:rsidRPr="003E5CBD">
        <w:rPr>
          <w:b/>
          <w:bCs/>
        </w:rPr>
        <w:t xml:space="preserve">slight </w:t>
      </w:r>
      <w:r w:rsidR="001C71C7">
        <w:rPr>
          <w:b/>
          <w:bCs/>
        </w:rPr>
        <w:t>rising</w:t>
      </w:r>
      <w:r w:rsidR="003627B9" w:rsidRPr="003E5CBD">
        <w:rPr>
          <w:b/>
          <w:bCs/>
        </w:rPr>
        <w:t xml:space="preserve"> bias </w:t>
      </w:r>
      <w:r w:rsidR="00843E57">
        <w:rPr>
          <w:b/>
          <w:bCs/>
        </w:rPr>
        <w:t xml:space="preserve">Y-O-Y </w:t>
      </w:r>
      <w:r w:rsidR="00EB0473" w:rsidRPr="003E5CBD">
        <w:rPr>
          <w:b/>
          <w:bCs/>
        </w:rPr>
        <w:t xml:space="preserve">which </w:t>
      </w:r>
      <w:r w:rsidR="003627B9" w:rsidRPr="003E5CBD">
        <w:rPr>
          <w:b/>
          <w:bCs/>
        </w:rPr>
        <w:t xml:space="preserve">is </w:t>
      </w:r>
      <w:r w:rsidR="001C71C7">
        <w:rPr>
          <w:b/>
          <w:bCs/>
        </w:rPr>
        <w:t>making Central Banks nervous</w:t>
      </w:r>
      <w:r w:rsidR="00B115AE">
        <w:t>,</w:t>
      </w:r>
      <w:r w:rsidR="00397D87">
        <w:t xml:space="preserve"> </w:t>
      </w:r>
      <w:r w:rsidR="00EB0473">
        <w:t xml:space="preserve">as the </w:t>
      </w:r>
      <w:r w:rsidR="001C71C7">
        <w:t xml:space="preserve">inflation </w:t>
      </w:r>
      <w:r w:rsidR="00EB0473">
        <w:t xml:space="preserve">numbers </w:t>
      </w:r>
      <w:r w:rsidR="001C71C7">
        <w:t>were</w:t>
      </w:r>
      <w:r w:rsidR="00EB0473">
        <w:t xml:space="preserve"> starting to hit within the</w:t>
      </w:r>
      <w:r w:rsidR="001C71C7">
        <w:t>ir</w:t>
      </w:r>
      <w:r w:rsidR="00EB0473">
        <w:t xml:space="preserve"> </w:t>
      </w:r>
      <w:r w:rsidR="00601243">
        <w:t>target ranges</w:t>
      </w:r>
      <w:r w:rsidR="001C71C7">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26BF7B97" w:rsidR="00BC11B5" w:rsidRDefault="00BC11B5" w:rsidP="003C40F3">
      <w:pPr>
        <w:pStyle w:val="ListParagraph"/>
        <w:numPr>
          <w:ilvl w:val="0"/>
          <w:numId w:val="8"/>
        </w:numPr>
      </w:pPr>
      <w:r>
        <w:t xml:space="preserve">Bond </w:t>
      </w:r>
      <w:r w:rsidR="00E247C3">
        <w:t xml:space="preserve">markets </w:t>
      </w:r>
      <w:r w:rsidR="00363E96">
        <w:t xml:space="preserve">are </w:t>
      </w:r>
      <w:r w:rsidR="001C71C7">
        <w:t xml:space="preserve">searching for the elusive </w:t>
      </w:r>
      <w:r w:rsidR="001C71C7" w:rsidRPr="001C71C7">
        <w:rPr>
          <w:b/>
          <w:bCs/>
        </w:rPr>
        <w:t>equilibrium level</w:t>
      </w:r>
      <w:r w:rsidR="001C71C7">
        <w:t xml:space="preserve"> </w:t>
      </w:r>
      <w:r w:rsidR="00843E57">
        <w:t xml:space="preserve">post the </w:t>
      </w:r>
      <w:r w:rsidR="001C71C7">
        <w:t xml:space="preserve">initial round of </w:t>
      </w:r>
      <w:r w:rsidR="00363E96">
        <w:t>Central Bank easing</w:t>
      </w:r>
      <w:r w:rsidR="00843E57">
        <w:t xml:space="preserve">. </w:t>
      </w:r>
      <w:r w:rsidR="00363E96">
        <w:t>The direction is still lower longer term but short term, volatility remains.</w:t>
      </w:r>
    </w:p>
    <w:p w14:paraId="07A4B833" w14:textId="68C49FAB" w:rsidR="008B2268" w:rsidRDefault="002C6C3E" w:rsidP="003C40F3">
      <w:pPr>
        <w:pStyle w:val="ListParagraph"/>
        <w:numPr>
          <w:ilvl w:val="0"/>
          <w:numId w:val="8"/>
        </w:numPr>
      </w:pPr>
      <w:r>
        <w:t>M</w:t>
      </w:r>
      <w:r w:rsidR="00894F9E">
        <w:t>arket</w:t>
      </w:r>
      <w:r w:rsidR="001415A2">
        <w:t xml:space="preserve"> valuations are </w:t>
      </w:r>
      <w:r w:rsidR="001921CE">
        <w:t xml:space="preserve">still </w:t>
      </w:r>
      <w:r w:rsidR="001415A2">
        <w:t>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E7618A">
        <w:rPr>
          <w:b/>
          <w:bCs/>
        </w:rPr>
        <w:t>maintain their cautiou</w:t>
      </w:r>
      <w:r w:rsidR="00484BBB">
        <w:rPr>
          <w:b/>
          <w:bCs/>
        </w:rPr>
        <w:t xml:space="preserve">s </w:t>
      </w:r>
      <w:r w:rsidR="00E7618A">
        <w:rPr>
          <w:b/>
          <w:bCs/>
        </w:rPr>
        <w:t>optimism</w:t>
      </w:r>
      <w:r w:rsidR="000218F1">
        <w:t>, navigate this period of uncertainty,</w:t>
      </w:r>
      <w:r w:rsidR="00B13339">
        <w:t xml:space="preserve"> and expect better conditions to prevail in </w:t>
      </w:r>
      <w:r w:rsidR="005D4428">
        <w:t>202</w:t>
      </w:r>
      <w:r w:rsidR="00E247C3">
        <w:t>5</w:t>
      </w:r>
      <w:r w:rsidR="005D4428">
        <w:t>.</w:t>
      </w:r>
      <w:r w:rsidR="00A00F13">
        <w:t xml:space="preserve"> </w:t>
      </w:r>
    </w:p>
    <w:p w14:paraId="734BC06E" w14:textId="5A009931" w:rsidR="00300938" w:rsidRDefault="00784798" w:rsidP="00F22A38">
      <w:r>
        <w:t xml:space="preserve">Despite the </w:t>
      </w:r>
      <w:r w:rsidR="00E247C3">
        <w:t>geo</w:t>
      </w:r>
      <w:r>
        <w:t>political conflict</w:t>
      </w:r>
      <w:r w:rsidR="002C6C3E">
        <w:t xml:space="preserve">, the investment markets are looking </w:t>
      </w:r>
      <w:r w:rsidR="00024249">
        <w:t>solid underpinned by c</w:t>
      </w:r>
      <w:r w:rsidR="002C6C3E">
        <w:t>ompany</w:t>
      </w:r>
      <w:r>
        <w:t xml:space="preserve"> </w:t>
      </w:r>
      <w:r w:rsidR="00E247C3">
        <w:t xml:space="preserve">profits </w:t>
      </w:r>
      <w:r w:rsidR="00024249">
        <w:t xml:space="preserve">and </w:t>
      </w:r>
      <w:r w:rsidR="00E247C3">
        <w:t xml:space="preserve">the expected </w:t>
      </w:r>
      <w:r w:rsidR="00E247C3" w:rsidRPr="00E247C3">
        <w:rPr>
          <w:b/>
          <w:bCs/>
        </w:rPr>
        <w:t>gradual easing interest rates</w:t>
      </w:r>
      <w:r w:rsidR="00E247C3">
        <w:t xml:space="preserve">. </w:t>
      </w:r>
    </w:p>
    <w:p w14:paraId="0FBDDE4B" w14:textId="120D0673" w:rsidR="0046215F" w:rsidRDefault="005C4645" w:rsidP="004E0CA0">
      <w:r>
        <w:t xml:space="preserve">Investors </w:t>
      </w:r>
      <w:r w:rsidR="00802B47">
        <w:t xml:space="preserve">have </w:t>
      </w:r>
      <w:r w:rsidR="00C34A21">
        <w:t xml:space="preserve">maintained their </w:t>
      </w:r>
      <w:r w:rsidR="00802B47">
        <w:t xml:space="preserve">risk appetite </w:t>
      </w:r>
      <w:r w:rsidR="00C34A21">
        <w:t>at</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C103CF">
        <w:t xml:space="preserve">short </w:t>
      </w:r>
      <w:r w:rsidR="006A01FF">
        <w:t>term and</w:t>
      </w:r>
      <w:r w:rsidR="00C103CF">
        <w:t xml:space="preserve"> </w:t>
      </w:r>
      <w:r w:rsidR="00396B3C">
        <w:t xml:space="preserve">remain </w:t>
      </w:r>
      <w:r w:rsidR="00784798" w:rsidRPr="00784798">
        <w:rPr>
          <w:b/>
          <w:bCs/>
        </w:rPr>
        <w:t>“optimistic”</w:t>
      </w:r>
      <w:r w:rsidR="00784798">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396B3C">
        <w:t>preferred</w:t>
      </w:r>
      <w:r w:rsidR="002C6C3E">
        <w:t xml:space="preserve"> </w:t>
      </w:r>
      <w:r w:rsidR="00111F8D">
        <w:t xml:space="preserve">despite the </w:t>
      </w:r>
      <w:r w:rsidR="00EF169D">
        <w:t xml:space="preserve">threat of </w:t>
      </w:r>
      <w:r w:rsidR="00EF169D">
        <w:lastRenderedPageBreak/>
        <w:t xml:space="preserve">an economic slowdown </w:t>
      </w:r>
      <w:r w:rsidR="005F21FA">
        <w:t xml:space="preserve"> at some future point</w:t>
      </w:r>
      <w:r w:rsidR="00634FDD">
        <w:t xml:space="preserve"> but the </w:t>
      </w:r>
      <w:r w:rsidR="008970F9">
        <w:t>severity is now seen as limited</w:t>
      </w:r>
      <w:r w:rsidR="00B26539">
        <w:t>.</w:t>
      </w:r>
      <w:r>
        <w:t xml:space="preserve"> </w:t>
      </w:r>
      <w:r w:rsidR="006A01FF">
        <w:t xml:space="preserve">We are looking for a </w:t>
      </w:r>
      <w:r w:rsidR="006A01FF" w:rsidRPr="006A01FF">
        <w:rPr>
          <w:b/>
          <w:bCs/>
        </w:rPr>
        <w:t>soft landing</w:t>
      </w:r>
      <w:r w:rsidR="006A01FF">
        <w:t xml:space="preserve"> for Australia.</w:t>
      </w:r>
    </w:p>
    <w:p w14:paraId="2641A6CA" w14:textId="77777777" w:rsidR="00843E57"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p>
    <w:p w14:paraId="3F20AC37" w14:textId="2816FFE9" w:rsidR="008C55C2" w:rsidRPr="008C55C2" w:rsidRDefault="008C55C2" w:rsidP="00B53288">
      <w:r w:rsidRPr="008C55C2">
        <w:t xml:space="preserve">China has recently made several fiscal and monetary policy announcements to consolidate economic growth, </w:t>
      </w:r>
      <w:r w:rsidRPr="008C55C2">
        <w:rPr>
          <w:b/>
          <w:bCs/>
        </w:rPr>
        <w:t>targeting 5%,</w:t>
      </w:r>
      <w:r w:rsidRPr="008C55C2">
        <w:t xml:space="preserve"> in response to </w:t>
      </w:r>
      <w:r w:rsidR="001C71C7">
        <w:t xml:space="preserve">an </w:t>
      </w:r>
      <w:r w:rsidRPr="008C55C2">
        <w:t xml:space="preserve">increase in US tariffs after President Trump </w:t>
      </w:r>
      <w:r w:rsidR="001C71C7">
        <w:t>inauguration</w:t>
      </w:r>
      <w:r w:rsidRPr="008C55C2">
        <w:t xml:space="preserve"> in January 2025. </w:t>
      </w:r>
      <w:r w:rsidR="001C71C7">
        <w:t>China has been hit with 10% tariffs on imported goods and has responded with 15% on US imported goods.</w:t>
      </w:r>
    </w:p>
    <w:p w14:paraId="0E2E95FA" w14:textId="4FFE28FD"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8C55C2">
        <w:rPr>
          <w:b/>
          <w:bCs/>
        </w:rPr>
        <w:t>1</w:t>
      </w:r>
      <w:r w:rsidR="008C55C2" w:rsidRPr="008C55C2">
        <w:rPr>
          <w:b/>
          <w:bCs/>
          <w:vertAlign w:val="superscript"/>
        </w:rPr>
        <w:t>st</w:t>
      </w:r>
      <w:r w:rsidR="008C55C2">
        <w:rPr>
          <w:b/>
          <w:bCs/>
        </w:rPr>
        <w:t xml:space="preserve"> </w:t>
      </w:r>
      <w:r w:rsidR="001C71C7">
        <w:rPr>
          <w:b/>
          <w:bCs/>
        </w:rPr>
        <w:t>January</w:t>
      </w:r>
      <w:r w:rsidRPr="004B4415">
        <w:rPr>
          <w:b/>
          <w:bCs/>
        </w:rPr>
        <w:t xml:space="preserve"> 202</w:t>
      </w:r>
      <w:r w:rsidR="001C71C7">
        <w:rPr>
          <w:b/>
          <w:bCs/>
        </w:rPr>
        <w:t>5</w:t>
      </w:r>
      <w:r w:rsidRPr="004B4415">
        <w:rPr>
          <w:b/>
          <w:bCs/>
        </w:rPr>
        <w:t>:</w:t>
      </w:r>
    </w:p>
    <w:p w14:paraId="13295CC7" w14:textId="0F9483B4" w:rsidR="004104F2" w:rsidRDefault="00E77D79" w:rsidP="00B53288">
      <w:r w:rsidRPr="00E77D79">
        <w:rPr>
          <w:noProof/>
        </w:rPr>
        <w:drawing>
          <wp:inline distT="0" distB="0" distL="0" distR="0" wp14:anchorId="04378D84" wp14:editId="15E50F9C">
            <wp:extent cx="5413375" cy="1408430"/>
            <wp:effectExtent l="0" t="0" r="0" b="1270"/>
            <wp:docPr id="1683496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3375" cy="1408430"/>
                    </a:xfrm>
                    <a:prstGeom prst="rect">
                      <a:avLst/>
                    </a:prstGeom>
                    <a:noFill/>
                    <a:ln>
                      <a:noFill/>
                    </a:ln>
                  </pic:spPr>
                </pic:pic>
              </a:graphicData>
            </a:graphic>
          </wp:inline>
        </w:drawing>
      </w:r>
    </w:p>
    <w:p w14:paraId="549039F8" w14:textId="3632757B" w:rsidR="00867438" w:rsidRPr="00055F78" w:rsidRDefault="001308C8" w:rsidP="00055F78">
      <w:pPr>
        <w:jc w:val="center"/>
        <w:rPr>
          <w:sz w:val="18"/>
        </w:rPr>
      </w:pPr>
      <w:r w:rsidRPr="00A70A09">
        <w:rPr>
          <w:sz w:val="18"/>
        </w:rPr>
        <w:t xml:space="preserve">Source data: Lonsec as of </w:t>
      </w:r>
      <w:r w:rsidR="00D528C0">
        <w:rPr>
          <w:sz w:val="18"/>
        </w:rPr>
        <w:t>3</w:t>
      </w:r>
      <w:r w:rsidR="008C55C2">
        <w:rPr>
          <w:sz w:val="18"/>
        </w:rPr>
        <w:t>1</w:t>
      </w:r>
      <w:r w:rsidR="008C55C2" w:rsidRPr="008C55C2">
        <w:rPr>
          <w:sz w:val="18"/>
          <w:vertAlign w:val="superscript"/>
        </w:rPr>
        <w:t>st</w:t>
      </w:r>
      <w:r w:rsidR="008C55C2">
        <w:rPr>
          <w:sz w:val="18"/>
        </w:rPr>
        <w:t xml:space="preserve"> </w:t>
      </w:r>
      <w:r w:rsidR="001C71C7">
        <w:rPr>
          <w:sz w:val="18"/>
        </w:rPr>
        <w:t>January</w:t>
      </w:r>
      <w:r w:rsidR="00A001EA">
        <w:rPr>
          <w:sz w:val="18"/>
        </w:rPr>
        <w:t xml:space="preserve"> </w:t>
      </w:r>
      <w:r w:rsidR="0005797F">
        <w:rPr>
          <w:sz w:val="18"/>
        </w:rPr>
        <w:t>202</w:t>
      </w:r>
      <w:r w:rsidR="001C71C7">
        <w:rPr>
          <w:sz w:val="18"/>
        </w:rPr>
        <w:t>5</w:t>
      </w:r>
      <w:r w:rsidR="00BA2B8F">
        <w:fldChar w:fldCharType="begin"/>
      </w:r>
      <w:r w:rsidR="00BA2B8F">
        <w:instrText xml:space="preserve"> INCLUDEPICTURE "https://pbs.twimg.com/media/E6JeJH4WYAA_7yS?format=jpg&amp;name=4096x4096" \* MERGEFORMATINET </w:instrText>
      </w:r>
      <w:r w:rsidR="00BA2B8F">
        <w:fldChar w:fldCharType="separate"/>
      </w:r>
      <w:r w:rsidR="00BA2B8F">
        <w:fldChar w:fldCharType="end"/>
      </w:r>
    </w:p>
    <w:p w14:paraId="1DE3D6DE" w14:textId="661D36A7" w:rsidR="000C7672" w:rsidRDefault="00A23AF0" w:rsidP="00B53288">
      <w:r>
        <w:t>The developed markets a</w:t>
      </w:r>
      <w:r w:rsidR="00365C86">
        <w:t xml:space="preserve">sset classes </w:t>
      </w:r>
      <w:r w:rsidR="00EF6467">
        <w:t>finished</w:t>
      </w:r>
      <w:r w:rsidR="00CE64CE">
        <w:t xml:space="preserve"> </w:t>
      </w:r>
      <w:r w:rsidR="00B278F5">
        <w:t>stronger</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w:t>
      </w:r>
      <w:r w:rsidR="00E72E45">
        <w:t xml:space="preserve">ed </w:t>
      </w:r>
      <w:r w:rsidR="00C92CC1">
        <w:t>lower</w:t>
      </w:r>
      <w:r w:rsidR="00E72E45">
        <w:t xml:space="preserve"> </w:t>
      </w:r>
      <w:r w:rsidR="00A001EA">
        <w:t xml:space="preserve">at </w:t>
      </w:r>
      <w:r w:rsidR="00311F31">
        <w:t>0.6</w:t>
      </w:r>
      <w:r w:rsidR="008C55C2">
        <w:t>2</w:t>
      </w:r>
      <w:r w:rsidR="00E77D79">
        <w:t>25</w:t>
      </w:r>
      <w:r w:rsidR="00311F31">
        <w:t xml:space="preserve"> </w:t>
      </w:r>
      <w:r>
        <w:t>(</w:t>
      </w:r>
      <w:r w:rsidR="00E77D79">
        <w:t>+0.13</w:t>
      </w:r>
      <w:r>
        <w:t>%)</w:t>
      </w:r>
      <w:r w:rsidR="007F0FC4">
        <w:t xml:space="preserve"> </w:t>
      </w:r>
      <w:r w:rsidR="00E72E45">
        <w:t>for</w:t>
      </w:r>
      <w:r w:rsidR="007F0FC4">
        <w:t xml:space="preserve"> the month which </w:t>
      </w:r>
      <w:r w:rsidR="00E77D79">
        <w:t>cost</w:t>
      </w:r>
      <w:r w:rsidR="007F0FC4">
        <w:t xml:space="preserve"> </w:t>
      </w:r>
      <w:r w:rsidR="00E7618A">
        <w:t xml:space="preserve">returns for </w:t>
      </w:r>
      <w:r w:rsidR="007F0FC4">
        <w:t xml:space="preserve">unhedged holdings. </w:t>
      </w:r>
    </w:p>
    <w:p w14:paraId="4A4DCEFF" w14:textId="7D9925B4" w:rsidR="001C4340" w:rsidRPr="001C4340" w:rsidRDefault="001C4340" w:rsidP="00B53288">
      <w:pPr>
        <w:rPr>
          <w:b/>
          <w:bCs/>
        </w:rPr>
      </w:pPr>
      <w:r w:rsidRPr="001C4340">
        <w:rPr>
          <w:b/>
          <w:bCs/>
        </w:rPr>
        <w:t>Asset Class Performance</w:t>
      </w:r>
    </w:p>
    <w:p w14:paraId="5FFD9B16" w14:textId="27C91EF6" w:rsidR="00EA4358" w:rsidRDefault="00E77D79" w:rsidP="00A001EA">
      <w:pPr>
        <w:jc w:val="center"/>
      </w:pPr>
      <w:r w:rsidRPr="00E77D79">
        <w:rPr>
          <w:noProof/>
        </w:rPr>
        <w:drawing>
          <wp:inline distT="0" distB="0" distL="0" distR="0" wp14:anchorId="08078519" wp14:editId="7E821255">
            <wp:extent cx="4252372" cy="2609088"/>
            <wp:effectExtent l="0" t="0" r="0" b="1270"/>
            <wp:docPr id="7925734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436" cy="2625693"/>
                    </a:xfrm>
                    <a:prstGeom prst="rect">
                      <a:avLst/>
                    </a:prstGeom>
                    <a:noFill/>
                    <a:ln>
                      <a:noFill/>
                    </a:ln>
                  </pic:spPr>
                </pic:pic>
              </a:graphicData>
            </a:graphic>
          </wp:inline>
        </w:drawing>
      </w:r>
    </w:p>
    <w:p w14:paraId="4F173F3B" w14:textId="02BACD4A" w:rsidR="00E2343E" w:rsidRDefault="001F3631" w:rsidP="00E7618A">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6C3C9E">
        <w:rPr>
          <w:sz w:val="16"/>
          <w:szCs w:val="16"/>
        </w:rPr>
        <w:t>3</w:t>
      </w:r>
      <w:r w:rsidR="008C55C2">
        <w:rPr>
          <w:sz w:val="16"/>
          <w:szCs w:val="16"/>
        </w:rPr>
        <w:t>1</w:t>
      </w:r>
      <w:r w:rsidR="008C55C2" w:rsidRPr="008C55C2">
        <w:rPr>
          <w:sz w:val="16"/>
          <w:szCs w:val="16"/>
          <w:vertAlign w:val="superscript"/>
        </w:rPr>
        <w:t>st</w:t>
      </w:r>
      <w:r w:rsidR="008C55C2">
        <w:rPr>
          <w:sz w:val="16"/>
          <w:szCs w:val="16"/>
        </w:rPr>
        <w:t xml:space="preserve"> </w:t>
      </w:r>
      <w:r w:rsidR="00E77D79">
        <w:rPr>
          <w:sz w:val="16"/>
          <w:szCs w:val="16"/>
        </w:rPr>
        <w:t>January</w:t>
      </w:r>
      <w:r w:rsidR="00063F3C">
        <w:rPr>
          <w:sz w:val="16"/>
          <w:szCs w:val="16"/>
          <w:vertAlign w:val="superscript"/>
        </w:rPr>
        <w:t xml:space="preserve"> </w:t>
      </w:r>
      <w:r w:rsidR="004E3C80">
        <w:rPr>
          <w:sz w:val="16"/>
          <w:szCs w:val="16"/>
        </w:rPr>
        <w:t>202</w:t>
      </w:r>
      <w:r w:rsidR="00E77D79">
        <w:rPr>
          <w:sz w:val="16"/>
          <w:szCs w:val="16"/>
        </w:rPr>
        <w:t>5</w:t>
      </w:r>
      <w:r w:rsidR="0062338B">
        <w:rPr>
          <w:sz w:val="16"/>
          <w:szCs w:val="16"/>
        </w:rPr>
        <w:t xml:space="preserve"> </w:t>
      </w:r>
      <w:r w:rsidRPr="001F3631">
        <w:rPr>
          <w:sz w:val="16"/>
          <w:szCs w:val="16"/>
        </w:rPr>
        <w:t>&amp; Fox Asset Management</w:t>
      </w:r>
    </w:p>
    <w:p w14:paraId="68131F76" w14:textId="27C21049" w:rsidR="00D72B03" w:rsidRPr="00D72B03" w:rsidRDefault="007B7DEB" w:rsidP="00F6077E">
      <w:pPr>
        <w:rPr>
          <w:b/>
          <w:bCs/>
        </w:rPr>
      </w:pPr>
      <w:r>
        <w:rPr>
          <w:b/>
          <w:bCs/>
        </w:rPr>
        <w:lastRenderedPageBreak/>
        <w:t>In</w:t>
      </w:r>
      <w:r w:rsidRPr="00D72B03">
        <w:rPr>
          <w:b/>
          <w:bCs/>
        </w:rPr>
        <w:t>vestment</w:t>
      </w:r>
      <w:r w:rsidR="00D72B03" w:rsidRPr="00D72B03">
        <w:rPr>
          <w:b/>
          <w:bCs/>
        </w:rPr>
        <w:t xml:space="preserve"> Climate</w:t>
      </w:r>
    </w:p>
    <w:p w14:paraId="1701C39F" w14:textId="1AC0AE76"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A001EA">
        <w:t>remains</w:t>
      </w:r>
      <w:r w:rsidR="007C64CC">
        <w:t xml:space="preserve"> </w:t>
      </w:r>
      <w:r w:rsidR="001E16AE">
        <w:rPr>
          <w:b/>
          <w:bCs/>
        </w:rPr>
        <w:t>“</w:t>
      </w:r>
      <w:r w:rsidR="00311F31">
        <w:rPr>
          <w:b/>
          <w:bCs/>
        </w:rPr>
        <w:t>cautiously optimistic</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665AF3">
        <w:t xml:space="preserve">are encouraged by the </w:t>
      </w:r>
      <w:r w:rsidR="00C92CC1">
        <w:t xml:space="preserve">anticipated </w:t>
      </w:r>
      <w:r w:rsidR="00665AF3">
        <w:t>gradual easing of interest rates</w:t>
      </w:r>
      <w:r w:rsidR="00C92CC1">
        <w:t xml:space="preserve"> however, the </w:t>
      </w:r>
      <w:r w:rsidR="002828E4">
        <w:t xml:space="preserve">unsettled nature of the </w:t>
      </w:r>
      <w:r w:rsidR="00E77D79">
        <w:t xml:space="preserve">share and </w:t>
      </w:r>
      <w:r w:rsidR="00C92CC1">
        <w:t xml:space="preserve">bond markets </w:t>
      </w:r>
      <w:r w:rsidR="002828E4">
        <w:t>clouds the short-term direction</w:t>
      </w:r>
      <w:r w:rsidR="00E77D79">
        <w:t>.</w:t>
      </w:r>
      <w:r w:rsidR="00665AF3">
        <w:t xml:space="preserve"> </w:t>
      </w:r>
      <w:r w:rsidR="00074A1A">
        <w:t>T</w:t>
      </w:r>
      <w:r w:rsidR="00B02125">
        <w:t xml:space="preserve">he </w:t>
      </w:r>
      <w:r w:rsidR="00074A1A">
        <w:t>soft-landing</w:t>
      </w:r>
      <w:r w:rsidR="00B02125">
        <w:t xml:space="preserve"> </w:t>
      </w:r>
      <w:r w:rsidR="00074A1A">
        <w:t xml:space="preserve">expectations </w:t>
      </w:r>
      <w:r w:rsidR="00B02125">
        <w:t>and economic recovery</w:t>
      </w:r>
      <w:r w:rsidR="00074A1A">
        <w:t xml:space="preserve"> are still supported</w:t>
      </w:r>
      <w:r w:rsidR="00E77D79">
        <w:t xml:space="preserve"> by the economic data</w:t>
      </w:r>
      <w:r w:rsidR="00854E2E">
        <w:t>,</w:t>
      </w:r>
      <w:r w:rsidR="00B02125">
        <w:t xml:space="preserve"> despite the </w:t>
      </w:r>
      <w:r w:rsidR="00C92CC1">
        <w:t xml:space="preserve">interest rate retreat and the </w:t>
      </w:r>
      <w:r w:rsidR="002627B9">
        <w:t xml:space="preserve">European and </w:t>
      </w:r>
      <w:r w:rsidR="001E16AE">
        <w:t xml:space="preserve">middle east conflict. </w:t>
      </w:r>
    </w:p>
    <w:p w14:paraId="0AEB38DD" w14:textId="29DE1373"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E72E45">
        <w:t xml:space="preserve">) </w:t>
      </w:r>
      <w:r w:rsidR="00D35CCF">
        <w:t>however, the volatility of prices is a concern</w:t>
      </w:r>
      <w:r w:rsidR="003B1467" w:rsidRPr="003B1467">
        <w:t>.</w:t>
      </w:r>
    </w:p>
    <w:p w14:paraId="4D2D3182" w14:textId="50838620" w:rsidR="00201A4D" w:rsidRDefault="0089672B" w:rsidP="001E16AE">
      <w:pPr>
        <w:spacing w:before="120" w:after="120"/>
      </w:pPr>
      <w:r>
        <w:t xml:space="preserve">Consumption </w:t>
      </w:r>
      <w:r w:rsidR="00B04D6E">
        <w:t xml:space="preserve">is </w:t>
      </w:r>
      <w:r w:rsidR="004361BB">
        <w:t xml:space="preserve">firm and holding up well </w:t>
      </w:r>
      <w:r w:rsidR="003B1467">
        <w:t xml:space="preserve">with </w:t>
      </w:r>
      <w:r w:rsidR="003B1467" w:rsidRPr="00854E2E">
        <w:rPr>
          <w:b/>
          <w:bCs/>
        </w:rPr>
        <w:t xml:space="preserve">retail sales </w:t>
      </w:r>
      <w:r w:rsidR="00C92CC1">
        <w:rPr>
          <w:b/>
          <w:bCs/>
        </w:rPr>
        <w:t xml:space="preserve">YOY </w:t>
      </w:r>
      <w:r w:rsidR="003B1467" w:rsidRPr="00854E2E">
        <w:rPr>
          <w:b/>
          <w:bCs/>
        </w:rPr>
        <w:t xml:space="preserve">in Australia </w:t>
      </w:r>
      <w:r w:rsidR="00497862" w:rsidRPr="00854E2E">
        <w:rPr>
          <w:b/>
          <w:bCs/>
        </w:rPr>
        <w:t>ris</w:t>
      </w:r>
      <w:r w:rsidR="00074A1A" w:rsidRPr="00854E2E">
        <w:rPr>
          <w:b/>
          <w:bCs/>
        </w:rPr>
        <w:t>ing</w:t>
      </w:r>
      <w:r w:rsidR="003B1467" w:rsidRPr="00854E2E">
        <w:rPr>
          <w:b/>
          <w:bCs/>
        </w:rPr>
        <w:t xml:space="preserve"> by </w:t>
      </w:r>
      <w:r w:rsidR="00984AC0" w:rsidRPr="00854E2E">
        <w:rPr>
          <w:b/>
          <w:bCs/>
        </w:rPr>
        <w:t>(</w:t>
      </w:r>
      <w:r w:rsidR="00497862" w:rsidRPr="00854E2E">
        <w:rPr>
          <w:b/>
          <w:bCs/>
        </w:rPr>
        <w:t>+</w:t>
      </w:r>
      <w:r w:rsidR="00897EBA">
        <w:rPr>
          <w:b/>
          <w:bCs/>
        </w:rPr>
        <w:t>4.6</w:t>
      </w:r>
      <w:r w:rsidR="004361BB" w:rsidRPr="00854E2E">
        <w:rPr>
          <w:b/>
          <w:bCs/>
        </w:rPr>
        <w:t>0</w:t>
      </w:r>
      <w:r w:rsidR="00074A1A" w:rsidRPr="00854E2E">
        <w:rPr>
          <w:b/>
          <w:bCs/>
        </w:rPr>
        <w:t>%</w:t>
      </w:r>
      <w:r w:rsidR="00984AC0" w:rsidRPr="00854E2E">
        <w:rPr>
          <w:b/>
          <w:bCs/>
        </w:rPr>
        <w:t>)</w:t>
      </w:r>
      <w:r w:rsidR="003B1467">
        <w:t xml:space="preserve"> in </w:t>
      </w:r>
      <w:r w:rsidR="00897EBA">
        <w:t>Dece</w:t>
      </w:r>
      <w:r w:rsidR="00D35CCF">
        <w:t>m</w:t>
      </w:r>
      <w:r w:rsidR="002828E4">
        <w:t>ber</w:t>
      </w:r>
      <w:r w:rsidR="003B1467">
        <w:t xml:space="preserve"> 2024 </w:t>
      </w:r>
      <w:r w:rsidR="00B04D6E">
        <w:t xml:space="preserve">which </w:t>
      </w:r>
      <w:r w:rsidR="00497862">
        <w:t>will</w:t>
      </w:r>
      <w:r w:rsidR="00B02125">
        <w:t xml:space="preserve"> </w:t>
      </w:r>
      <w:r w:rsidR="00074A1A">
        <w:t xml:space="preserve">impact company profit expectations </w:t>
      </w:r>
      <w:r>
        <w:t>in the short-term</w:t>
      </w:r>
      <w:r w:rsidR="004361BB">
        <w:t xml:space="preserve"> and worry the RBA</w:t>
      </w:r>
      <w:r w:rsidR="00816FD5">
        <w:t xml:space="preserve"> from an inflation perspective</w:t>
      </w:r>
      <w:r w:rsidR="00984AC0">
        <w:t>.</w:t>
      </w:r>
      <w:r w:rsidR="00D74275">
        <w:t xml:space="preserve"> </w:t>
      </w:r>
    </w:p>
    <w:p w14:paraId="6B8750FC" w14:textId="4F8434AA" w:rsidR="007C64CC" w:rsidRPr="00816FD5" w:rsidRDefault="00BE0AFA" w:rsidP="00F6077E">
      <w:r>
        <w:t xml:space="preserve">The </w:t>
      </w:r>
      <w:r w:rsidRPr="00DD3CC2">
        <w:rPr>
          <w:b/>
          <w:bCs/>
        </w:rPr>
        <w:t>medium-term view remains</w:t>
      </w:r>
      <w:r w:rsidRPr="00BE0AFA">
        <w:rPr>
          <w:b/>
          <w:bCs/>
        </w:rPr>
        <w:t xml:space="preserve"> positive</w:t>
      </w:r>
      <w:r>
        <w:t xml:space="preserve"> for returns </w:t>
      </w:r>
      <w:r w:rsidR="00897EBA">
        <w:t xml:space="preserve">despite </w:t>
      </w:r>
      <w:r w:rsidR="00816FD5" w:rsidRPr="00816FD5">
        <w:t xml:space="preserve">the </w:t>
      </w:r>
      <w:r w:rsidR="007C64CC" w:rsidRPr="00816FD5">
        <w:t xml:space="preserve">US Fed </w:t>
      </w:r>
      <w:r w:rsidR="00CF156A" w:rsidRPr="00816FD5">
        <w:t>Chair, Jerome Powel</w:t>
      </w:r>
      <w:r w:rsidR="00816FD5" w:rsidRPr="00816FD5">
        <w:t xml:space="preserve">s comments </w:t>
      </w:r>
      <w:r w:rsidR="00897EBA">
        <w:t xml:space="preserve">regarding </w:t>
      </w:r>
      <w:r w:rsidR="00665AF3">
        <w:t xml:space="preserve">further </w:t>
      </w:r>
      <w:r w:rsidR="00816FD5">
        <w:t>easing of interest rates in the US</w:t>
      </w:r>
      <w:r w:rsidR="00D35CCF">
        <w:t xml:space="preserve"> over 2025</w:t>
      </w:r>
      <w:r w:rsidR="00816FD5">
        <w:t>.</w:t>
      </w:r>
      <w:r w:rsidR="00816FD5" w:rsidRPr="00816FD5">
        <w:t xml:space="preserve"> </w:t>
      </w:r>
    </w:p>
    <w:p w14:paraId="024D1376" w14:textId="43FD24CE"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a</w:t>
      </w:r>
      <w:r w:rsidR="00897EBA">
        <w:t xml:space="preserve"> stabilising</w:t>
      </w:r>
      <w:r>
        <w:t xml:space="preserve"> </w:t>
      </w:r>
      <w:r w:rsidR="005F6840">
        <w:t xml:space="preserve">in </w:t>
      </w:r>
      <w:r>
        <w:t>inflation</w:t>
      </w:r>
      <w:r w:rsidR="007C64CC">
        <w:t xml:space="preserve"> and every indication is for future easing in monetary policy </w:t>
      </w:r>
      <w:r w:rsidR="00897EBA">
        <w:t xml:space="preserve">to be possible in the first </w:t>
      </w:r>
      <w:r w:rsidR="00D35CCF">
        <w:t>half of</w:t>
      </w:r>
      <w:r w:rsidR="00665AF3">
        <w:t xml:space="preserve"> 2025</w:t>
      </w:r>
      <w:r w:rsidR="007C64CC">
        <w:t xml:space="preserve">. Remember </w:t>
      </w:r>
      <w:r w:rsidR="007C64CC" w:rsidRPr="007C64CC">
        <w:rPr>
          <w:b/>
          <w:bCs/>
        </w:rPr>
        <w:t>markets are forward looking</w:t>
      </w:r>
      <w:r w:rsidR="007C64CC">
        <w:t xml:space="preserve"> so the support now is reflecting the expectations for conditions in </w:t>
      </w:r>
      <w:r w:rsidR="00897EBA">
        <w:t>Octob</w:t>
      </w:r>
      <w:r w:rsidR="00D35CCF">
        <w:t>er</w:t>
      </w:r>
      <w:r w:rsidR="007C64CC">
        <w:t xml:space="preserve"> 202</w:t>
      </w:r>
      <w:r w:rsidR="00984AC0">
        <w:t>5</w:t>
      </w:r>
      <w:r w:rsidR="007C64CC">
        <w:t>.</w:t>
      </w:r>
      <w:r>
        <w:t xml:space="preserve"> </w:t>
      </w:r>
    </w:p>
    <w:p w14:paraId="6F8EECA2" w14:textId="7846EBA3"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FA1935">
        <w:rPr>
          <w:b/>
          <w:bCs/>
        </w:rPr>
        <w:t>3</w:t>
      </w:r>
      <w:r w:rsidR="00E37072">
        <w:rPr>
          <w:b/>
          <w:bCs/>
        </w:rPr>
        <w:t>1</w:t>
      </w:r>
      <w:r w:rsidR="00E37072" w:rsidRPr="00E37072">
        <w:rPr>
          <w:b/>
          <w:bCs/>
          <w:vertAlign w:val="superscript"/>
        </w:rPr>
        <w:t>st</w:t>
      </w:r>
      <w:r w:rsidR="00E37072">
        <w:rPr>
          <w:b/>
          <w:bCs/>
        </w:rPr>
        <w:t xml:space="preserve"> </w:t>
      </w:r>
      <w:r w:rsidR="00A22C87">
        <w:rPr>
          <w:b/>
          <w:bCs/>
        </w:rPr>
        <w:t>January</w:t>
      </w:r>
      <w:r w:rsidRPr="00025089">
        <w:rPr>
          <w:b/>
          <w:bCs/>
        </w:rPr>
        <w:t xml:space="preserve"> </w:t>
      </w:r>
      <w:r w:rsidR="002F0E91" w:rsidRPr="00025089">
        <w:rPr>
          <w:b/>
          <w:bCs/>
        </w:rPr>
        <w:t>202</w:t>
      </w:r>
      <w:r w:rsidR="00A22C87">
        <w:rPr>
          <w:b/>
          <w:bCs/>
        </w:rPr>
        <w:t>5</w:t>
      </w:r>
      <w:r w:rsidR="00181027">
        <w:rPr>
          <w:b/>
          <w:bCs/>
        </w:rPr>
        <w:t>:</w:t>
      </w:r>
      <w:r w:rsidRPr="00025089">
        <w:rPr>
          <w:b/>
          <w:bCs/>
        </w:rPr>
        <w:t xml:space="preserve"> </w:t>
      </w:r>
    </w:p>
    <w:p w14:paraId="1C9B1309" w14:textId="2BD5B0F7" w:rsidR="00A769F6" w:rsidRDefault="007B239A" w:rsidP="009E7EF6">
      <w:pPr>
        <w:spacing w:before="120" w:after="120" w:line="240" w:lineRule="auto"/>
      </w:pPr>
      <w:r w:rsidRPr="00F90325">
        <w:t xml:space="preserve">Global </w:t>
      </w:r>
      <w:r w:rsidR="00CB2DF1">
        <w:t xml:space="preserve">share </w:t>
      </w:r>
      <w:r w:rsidR="00F82AE9">
        <w:t xml:space="preserve">markets </w:t>
      </w:r>
      <w:r w:rsidR="00FA390E">
        <w:t xml:space="preserve">over </w:t>
      </w:r>
      <w:r w:rsidR="00A22C87">
        <w:t>January</w:t>
      </w:r>
      <w:r w:rsidR="00B752EF">
        <w:t xml:space="preserve"> were </w:t>
      </w:r>
      <w:r w:rsidR="00A22C87">
        <w:t xml:space="preserve">strong </w:t>
      </w:r>
      <w:r w:rsidR="00131EB9">
        <w:t xml:space="preserve">with </w:t>
      </w:r>
      <w:r w:rsidR="00A769F6">
        <w:t xml:space="preserve">returns </w:t>
      </w:r>
      <w:r w:rsidR="00A22C87">
        <w:t>did not impact</w:t>
      </w:r>
      <w:r w:rsidR="00A769F6">
        <w:t xml:space="preserve"> t</w:t>
      </w:r>
      <w:r w:rsidR="00A769F6" w:rsidRPr="00A769F6">
        <w:t>he USD</w:t>
      </w:r>
      <w:r w:rsidR="00A22C87">
        <w:t xml:space="preserve"> with </w:t>
      </w:r>
      <w:r w:rsidR="003E1A6E">
        <w:t>minor change</w:t>
      </w:r>
      <w:r w:rsidR="00A22C87">
        <w:t xml:space="preserve"> from December 2024. </w:t>
      </w:r>
      <w:r w:rsidR="00A769F6" w:rsidRPr="00A769F6">
        <w:t xml:space="preserve">The AUD/USD </w:t>
      </w:r>
      <w:r w:rsidR="00A22C87">
        <w:t>strength</w:t>
      </w:r>
      <w:r w:rsidR="00A769F6" w:rsidRPr="00A769F6">
        <w:t>ened from 0.6</w:t>
      </w:r>
      <w:r w:rsidR="00A22C87">
        <w:t>2</w:t>
      </w:r>
      <w:r w:rsidR="00A769F6" w:rsidRPr="00A769F6">
        <w:t>17 to 0.62</w:t>
      </w:r>
      <w:r w:rsidR="00A22C87">
        <w:t>25</w:t>
      </w:r>
      <w:r w:rsidR="00A769F6" w:rsidRPr="00A769F6">
        <w:t xml:space="preserve">. The AUD/USD has since continued to </w:t>
      </w:r>
      <w:r w:rsidR="00A22C87">
        <w:t xml:space="preserve">rebound </w:t>
      </w:r>
      <w:r w:rsidR="00A769F6" w:rsidRPr="00A769F6">
        <w:t xml:space="preserve">in recent trading </w:t>
      </w:r>
      <w:r w:rsidR="00A22C87">
        <w:t xml:space="preserve">to 0.6335 </w:t>
      </w:r>
      <w:r w:rsidR="00A769F6" w:rsidRPr="00A769F6">
        <w:t xml:space="preserve">from the December 2024 month end close </w:t>
      </w:r>
      <w:r w:rsidR="00A22C87">
        <w:t xml:space="preserve">trading as high as </w:t>
      </w:r>
      <w:r w:rsidR="00A769F6" w:rsidRPr="00A769F6">
        <w:t>0.6</w:t>
      </w:r>
      <w:r w:rsidR="00A22C87">
        <w:t>356</w:t>
      </w:r>
      <w:r w:rsidR="00A769F6" w:rsidRPr="00A769F6">
        <w:t xml:space="preserve"> in recent days.</w:t>
      </w:r>
    </w:p>
    <w:p w14:paraId="2DCB7E32" w14:textId="77777777" w:rsidR="000678BF" w:rsidRDefault="00BC0503" w:rsidP="009E7EF6">
      <w:pPr>
        <w:spacing w:before="120" w:after="120" w:line="240" w:lineRule="auto"/>
      </w:pPr>
      <w:r w:rsidRPr="00BC0503">
        <w:t xml:space="preserve">The US has </w:t>
      </w:r>
      <w:r w:rsidR="00A22C87">
        <w:t xml:space="preserve">halted the </w:t>
      </w:r>
      <w:r w:rsidRPr="00BC0503">
        <w:t xml:space="preserve">easing bias in monetary policy </w:t>
      </w:r>
      <w:r w:rsidR="00A22C87">
        <w:t xml:space="preserve"> by holding the </w:t>
      </w:r>
      <w:r w:rsidRPr="00BC0503">
        <w:t xml:space="preserve">target range for federal funds </w:t>
      </w:r>
      <w:r w:rsidR="00A22C87">
        <w:t>at</w:t>
      </w:r>
      <w:r w:rsidRPr="00BC0503">
        <w:t xml:space="preserve"> </w:t>
      </w:r>
      <w:r w:rsidRPr="00BC0503">
        <w:rPr>
          <w:b/>
          <w:bCs/>
        </w:rPr>
        <w:t>4.25%-4.50%</w:t>
      </w:r>
      <w:r w:rsidRPr="00BC0503">
        <w:t xml:space="preserve"> </w:t>
      </w:r>
      <w:r>
        <w:t xml:space="preserve">when it met on the </w:t>
      </w:r>
      <w:r w:rsidR="000678BF">
        <w:t>28/29</w:t>
      </w:r>
      <w:r w:rsidRPr="00FC4FEF">
        <w:rPr>
          <w:vertAlign w:val="superscript"/>
        </w:rPr>
        <w:t>th</w:t>
      </w:r>
      <w:r>
        <w:t xml:space="preserve"> </w:t>
      </w:r>
      <w:r w:rsidR="000678BF">
        <w:t>January</w:t>
      </w:r>
      <w:r>
        <w:t xml:space="preserve"> 202</w:t>
      </w:r>
      <w:r w:rsidR="000678BF">
        <w:t>5</w:t>
      </w:r>
      <w:r>
        <w:t>.</w:t>
      </w:r>
      <w:r w:rsidRPr="00BC0503">
        <w:t xml:space="preserve"> </w:t>
      </w:r>
      <w:r>
        <w:t>I</w:t>
      </w:r>
      <w:r w:rsidRPr="00BC0503">
        <w:t xml:space="preserve">nvestors are gaining more confidence that the economy is headed for a soft landing. </w:t>
      </w:r>
    </w:p>
    <w:p w14:paraId="3EB233A4" w14:textId="6CA9165A" w:rsidR="00BC0503" w:rsidRDefault="00BC0503" w:rsidP="009E7EF6">
      <w:pPr>
        <w:spacing w:before="120" w:after="120" w:line="240" w:lineRule="auto"/>
      </w:pPr>
      <w:r w:rsidRPr="00BC0503">
        <w:t xml:space="preserve">The underlying theme is positive for shares however, the sharp retracement moves in the bond market in </w:t>
      </w:r>
      <w:r w:rsidR="000678BF">
        <w:t>since November 2024</w:t>
      </w:r>
      <w:r w:rsidRPr="00BC0503">
        <w:t xml:space="preserve"> ha</w:t>
      </w:r>
      <w:r w:rsidR="000678BF">
        <w:t xml:space="preserve">s </w:t>
      </w:r>
      <w:r w:rsidRPr="00BC0503">
        <w:t>stalled further aggressive risk-on trades</w:t>
      </w:r>
      <w:r w:rsidR="000678BF">
        <w:t>.</w:t>
      </w:r>
    </w:p>
    <w:p w14:paraId="5C7FFE06" w14:textId="77777777" w:rsidR="00BC0503" w:rsidRDefault="00BC0503" w:rsidP="009E7EF6">
      <w:pPr>
        <w:spacing w:before="120" w:after="120" w:line="240" w:lineRule="auto"/>
      </w:pPr>
    </w:p>
    <w:p w14:paraId="1DC6DA81" w14:textId="77777777" w:rsidR="00BC0503" w:rsidRDefault="00BC0503" w:rsidP="009E7EF6">
      <w:pPr>
        <w:spacing w:before="120" w:after="120" w:line="240" w:lineRule="auto"/>
      </w:pPr>
    </w:p>
    <w:p w14:paraId="280AEC85" w14:textId="77777777" w:rsidR="000678BF" w:rsidRDefault="000678BF" w:rsidP="009E7EF6">
      <w:pPr>
        <w:spacing w:before="120" w:after="120" w:line="240" w:lineRule="auto"/>
      </w:pPr>
    </w:p>
    <w:p w14:paraId="0A5C3F6D" w14:textId="77777777" w:rsidR="00FC4FEF" w:rsidRDefault="00FC4FEF" w:rsidP="009E7EF6">
      <w:pPr>
        <w:spacing w:before="120" w:after="120" w:line="240" w:lineRule="auto"/>
      </w:pPr>
    </w:p>
    <w:p w14:paraId="6A0D8148" w14:textId="392BE297" w:rsidR="00B02125" w:rsidRPr="00BB456F" w:rsidRDefault="000035CC" w:rsidP="009E7EF6">
      <w:pPr>
        <w:spacing w:before="120" w:after="120" w:line="240" w:lineRule="auto"/>
        <w:rPr>
          <w:b/>
          <w:bCs/>
        </w:rPr>
      </w:pPr>
      <w:r w:rsidRPr="00BB456F">
        <w:rPr>
          <w:b/>
          <w:bCs/>
        </w:rPr>
        <w:lastRenderedPageBreak/>
        <w:t xml:space="preserve">Summary of </w:t>
      </w:r>
      <w:r w:rsidR="00BB456F">
        <w:rPr>
          <w:b/>
          <w:bCs/>
        </w:rPr>
        <w:t xml:space="preserve">global </w:t>
      </w:r>
      <w:r w:rsidRPr="00BB456F">
        <w:rPr>
          <w:b/>
          <w:bCs/>
        </w:rPr>
        <w:t>share returns</w:t>
      </w:r>
      <w:r w:rsidR="009718C7">
        <w:rPr>
          <w:b/>
          <w:bCs/>
        </w:rPr>
        <w:t xml:space="preserve"> in AUD terms</w:t>
      </w:r>
      <w:r w:rsidRPr="00BB456F">
        <w:rPr>
          <w:b/>
          <w:bCs/>
        </w:rPr>
        <w:t>:</w:t>
      </w:r>
    </w:p>
    <w:p w14:paraId="7204A7A0" w14:textId="6393A351" w:rsidR="00CB2DF1" w:rsidRDefault="000678BF" w:rsidP="00CB2DF1">
      <w:pPr>
        <w:spacing w:before="120" w:after="120" w:line="240" w:lineRule="auto"/>
        <w:jc w:val="center"/>
      </w:pPr>
      <w:r w:rsidRPr="000678BF">
        <w:rPr>
          <w:noProof/>
        </w:rPr>
        <w:drawing>
          <wp:inline distT="0" distB="0" distL="0" distR="0" wp14:anchorId="1E9663C9" wp14:editId="1C7C31EA">
            <wp:extent cx="3931920" cy="1810385"/>
            <wp:effectExtent l="0" t="0" r="0" b="0"/>
            <wp:docPr id="12260038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1920" cy="1810385"/>
                    </a:xfrm>
                    <a:prstGeom prst="rect">
                      <a:avLst/>
                    </a:prstGeom>
                    <a:noFill/>
                    <a:ln>
                      <a:noFill/>
                    </a:ln>
                  </pic:spPr>
                </pic:pic>
              </a:graphicData>
            </a:graphic>
          </wp:inline>
        </w:drawing>
      </w:r>
    </w:p>
    <w:p w14:paraId="37653ECA" w14:textId="60D2444C" w:rsidR="00FC4FEF" w:rsidRDefault="00FC4FEF" w:rsidP="00CB2DF1">
      <w:pPr>
        <w:spacing w:before="120" w:after="120" w:line="240" w:lineRule="auto"/>
        <w:jc w:val="center"/>
      </w:pPr>
      <w:r w:rsidRPr="001F3631">
        <w:rPr>
          <w:sz w:val="16"/>
          <w:szCs w:val="16"/>
        </w:rPr>
        <w:t xml:space="preserve">Data Source: Lonsec </w:t>
      </w:r>
      <w:r>
        <w:rPr>
          <w:sz w:val="16"/>
          <w:szCs w:val="16"/>
        </w:rPr>
        <w:t>as of 3</w:t>
      </w:r>
      <w:r w:rsidR="00E37072">
        <w:rPr>
          <w:sz w:val="16"/>
          <w:szCs w:val="16"/>
        </w:rPr>
        <w:t>1</w:t>
      </w:r>
      <w:r w:rsidR="00E37072" w:rsidRPr="00E37072">
        <w:rPr>
          <w:sz w:val="16"/>
          <w:szCs w:val="16"/>
          <w:vertAlign w:val="superscript"/>
        </w:rPr>
        <w:t>st</w:t>
      </w:r>
      <w:r w:rsidR="00E37072">
        <w:rPr>
          <w:sz w:val="16"/>
          <w:szCs w:val="16"/>
        </w:rPr>
        <w:t xml:space="preserve"> </w:t>
      </w:r>
      <w:r w:rsidR="000678BF">
        <w:rPr>
          <w:sz w:val="16"/>
          <w:szCs w:val="16"/>
        </w:rPr>
        <w:t>January</w:t>
      </w:r>
      <w:r>
        <w:rPr>
          <w:sz w:val="16"/>
          <w:szCs w:val="16"/>
          <w:vertAlign w:val="superscript"/>
        </w:rPr>
        <w:t xml:space="preserve"> </w:t>
      </w:r>
      <w:r>
        <w:rPr>
          <w:sz w:val="16"/>
          <w:szCs w:val="16"/>
        </w:rPr>
        <w:t>202</w:t>
      </w:r>
      <w:r w:rsidR="000678BF">
        <w:rPr>
          <w:sz w:val="16"/>
          <w:szCs w:val="16"/>
        </w:rPr>
        <w:t>5</w:t>
      </w:r>
    </w:p>
    <w:p w14:paraId="3E617E0D" w14:textId="77777777" w:rsidR="009718C7"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w:t>
      </w:r>
      <w:r w:rsidR="00131EB9">
        <w:t>,</w:t>
      </w:r>
      <w:r w:rsidR="00802E86">
        <w:t xml:space="preserve"> </w:t>
      </w:r>
      <w:r w:rsidR="00131EB9">
        <w:t>Gaza (</w:t>
      </w:r>
      <w:r w:rsidR="00802E86">
        <w:t>H</w:t>
      </w:r>
      <w:r w:rsidR="008F5026">
        <w:t>a</w:t>
      </w:r>
      <w:r w:rsidR="00802E86">
        <w:t>mas</w:t>
      </w:r>
      <w:r w:rsidR="00131EB9">
        <w:t>) and now Lebanon</w:t>
      </w:r>
      <w:r w:rsidR="00802E86">
        <w:t xml:space="preserve"> </w:t>
      </w:r>
      <w:r w:rsidR="009718C7">
        <w:t>is showing signs of abating with cease fire talks underway.</w:t>
      </w:r>
    </w:p>
    <w:p w14:paraId="4D1ADF38" w14:textId="1D5773F5" w:rsidR="00BD000B" w:rsidRDefault="00403EC7" w:rsidP="009E7EF6">
      <w:pPr>
        <w:spacing w:before="120" w:after="120" w:line="240" w:lineRule="auto"/>
      </w:pPr>
      <w:r>
        <w:t>U</w:t>
      </w:r>
      <w:r w:rsidR="00B700A9">
        <w:t>nfortunately,</w:t>
      </w:r>
      <w:r w:rsidR="00F24335">
        <w:t xml:space="preserve"> a resolution </w:t>
      </w:r>
      <w:r w:rsidR="0025751D">
        <w:t xml:space="preserve">to the </w:t>
      </w:r>
      <w:r w:rsidR="005200E9">
        <w:t xml:space="preserve">regional conflict </w:t>
      </w:r>
      <w:r w:rsidR="009718C7">
        <w:t>may be a</w:t>
      </w:r>
      <w:r w:rsidR="00F24335">
        <w:t xml:space="preserve"> way off </w:t>
      </w:r>
      <w:r w:rsidR="009718C7">
        <w:t>however</w:t>
      </w:r>
      <w:r w:rsidR="00D7423A">
        <w:t xml:space="preserve">,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3C40F3">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6F621A9F" w:rsidR="00C52E4A" w:rsidRDefault="00131EB9" w:rsidP="003C40F3">
      <w:pPr>
        <w:pStyle w:val="ListParagraph"/>
        <w:numPr>
          <w:ilvl w:val="0"/>
          <w:numId w:val="6"/>
        </w:numPr>
        <w:spacing w:before="0" w:after="0" w:line="276" w:lineRule="auto"/>
        <w:ind w:left="357" w:hanging="357"/>
      </w:pPr>
      <w:r>
        <w:rPr>
          <w:b/>
          <w:bCs/>
        </w:rPr>
        <w:t>C</w:t>
      </w:r>
      <w:r w:rsidR="00382D5C">
        <w:rPr>
          <w:b/>
          <w:bCs/>
        </w:rPr>
        <w:t xml:space="preserve">ommodity prices </w:t>
      </w:r>
      <w:r w:rsidRPr="00131EB9">
        <w:t xml:space="preserve">(post China policy changes) </w:t>
      </w:r>
      <w:r w:rsidR="00382D5C">
        <w:rPr>
          <w:b/>
          <w:bCs/>
        </w:rPr>
        <w:t>and the impact on company profits</w:t>
      </w:r>
      <w:r w:rsidR="007077FC">
        <w:rPr>
          <w:b/>
          <w:bCs/>
        </w:rPr>
        <w:t>.</w:t>
      </w:r>
    </w:p>
    <w:p w14:paraId="78654FD1" w14:textId="73FF2CF2" w:rsidR="00C52E4A" w:rsidRDefault="00C52E4A" w:rsidP="003C40F3">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w:t>
      </w:r>
      <w:r w:rsidR="001B3379">
        <w:t xml:space="preserve">the elevated </w:t>
      </w:r>
      <w:r>
        <w:t xml:space="preserve">inflation </w:t>
      </w:r>
      <w:r w:rsidR="008261BB">
        <w:t>level</w:t>
      </w:r>
      <w:r>
        <w:t>.</w:t>
      </w:r>
    </w:p>
    <w:p w14:paraId="5B79F6A2" w14:textId="6A162A4F" w:rsidR="007077FC" w:rsidRDefault="007077FC" w:rsidP="003C40F3">
      <w:pPr>
        <w:pStyle w:val="ListParagraph"/>
        <w:numPr>
          <w:ilvl w:val="0"/>
          <w:numId w:val="6"/>
        </w:numPr>
        <w:spacing w:before="0" w:after="0" w:line="276" w:lineRule="auto"/>
        <w:ind w:left="357" w:hanging="357"/>
      </w:pPr>
      <w:r w:rsidRPr="007077FC">
        <w:rPr>
          <w:b/>
          <w:bCs/>
        </w:rPr>
        <w:t>US tariffs</w:t>
      </w:r>
      <w:r>
        <w:t xml:space="preserve"> and the impact on Australia’s exports of iron ore and aluminium.</w:t>
      </w:r>
    </w:p>
    <w:p w14:paraId="72D4FB61" w14:textId="3D6EF1F8" w:rsidR="00C52E4A" w:rsidRDefault="00C52E4A" w:rsidP="003C40F3">
      <w:pPr>
        <w:pStyle w:val="ListParagraph"/>
        <w:numPr>
          <w:ilvl w:val="0"/>
          <w:numId w:val="6"/>
        </w:numPr>
        <w:spacing w:before="0" w:after="0" w:line="276" w:lineRule="auto"/>
        <w:ind w:left="357" w:hanging="357"/>
      </w:pPr>
      <w:r w:rsidRPr="00C52E4A">
        <w:rPr>
          <w:b/>
          <w:bCs/>
        </w:rPr>
        <w:t>Inflation</w:t>
      </w:r>
      <w:r>
        <w:t xml:space="preserve"> </w:t>
      </w:r>
      <w:r w:rsidR="00382D5C">
        <w:t xml:space="preserve">(Y-O-Y) </w:t>
      </w:r>
      <w:r w:rsidR="007077FC">
        <w:t>trending down</w:t>
      </w:r>
      <w:r w:rsidR="00CB2DF1">
        <w:t xml:space="preserve"> </w:t>
      </w:r>
      <w:r w:rsidR="00382D5C">
        <w:t xml:space="preserve"> at </w:t>
      </w:r>
      <w:r w:rsidR="00CB2DF1" w:rsidRPr="007077FC">
        <w:rPr>
          <w:b/>
          <w:bCs/>
        </w:rPr>
        <w:t>2.</w:t>
      </w:r>
      <w:r w:rsidR="007077FC" w:rsidRPr="007077FC">
        <w:rPr>
          <w:b/>
          <w:bCs/>
        </w:rPr>
        <w:t>4</w:t>
      </w:r>
      <w:r w:rsidRPr="007077FC">
        <w:rPr>
          <w:b/>
          <w:bCs/>
        </w:rPr>
        <w:t>%</w:t>
      </w:r>
      <w:r>
        <w:t xml:space="preserve"> </w:t>
      </w:r>
      <w:r w:rsidR="00CB2DF1">
        <w:t>down</w:t>
      </w:r>
      <w:r w:rsidR="008F3798">
        <w:t xml:space="preserve"> </w:t>
      </w:r>
      <w:r>
        <w:t xml:space="preserve">from </w:t>
      </w:r>
      <w:r w:rsidR="007077FC">
        <w:t>2</w:t>
      </w:r>
      <w:r w:rsidR="008F3798">
        <w:t>.</w:t>
      </w:r>
      <w:r w:rsidR="00CB2DF1">
        <w:t>8</w:t>
      </w:r>
      <w:r>
        <w:t xml:space="preserve">% in the </w:t>
      </w:r>
      <w:r w:rsidR="007077FC">
        <w:t>third</w:t>
      </w:r>
      <w:r>
        <w:t xml:space="preserve"> quarter of 202</w:t>
      </w:r>
      <w:r w:rsidR="008F3798">
        <w:t>4</w:t>
      </w:r>
      <w:r>
        <w:t xml:space="preserve"> which </w:t>
      </w:r>
      <w:r w:rsidR="008F3798">
        <w:t>is</w:t>
      </w:r>
      <w:r w:rsidR="00CB2DF1">
        <w:t xml:space="preserve"> finally</w:t>
      </w:r>
      <w:r>
        <w:t xml:space="preserve"> heading in the right direction</w:t>
      </w:r>
      <w:r w:rsidR="00CB2DF1">
        <w:t>.</w:t>
      </w:r>
    </w:p>
    <w:p w14:paraId="5BA48DC4" w14:textId="3E3B3C2A" w:rsidR="00531BEC" w:rsidRPr="00531BEC" w:rsidRDefault="00531BEC" w:rsidP="003C40F3">
      <w:pPr>
        <w:pStyle w:val="ListParagraph"/>
        <w:numPr>
          <w:ilvl w:val="0"/>
          <w:numId w:val="6"/>
        </w:numPr>
        <w:spacing w:before="0" w:after="0" w:line="276" w:lineRule="auto"/>
        <w:ind w:left="357" w:hanging="357"/>
      </w:pPr>
      <w:r>
        <w:rPr>
          <w:b/>
          <w:bCs/>
        </w:rPr>
        <w:t xml:space="preserve">Government spending </w:t>
      </w:r>
      <w:r w:rsidRPr="00531BEC">
        <w:t>and the rising debt level.</w:t>
      </w:r>
    </w:p>
    <w:p w14:paraId="206FBAA8" w14:textId="0650AADF" w:rsidR="00131EB9" w:rsidRPr="00BB456F" w:rsidRDefault="00220A49" w:rsidP="003519E4">
      <w:pPr>
        <w:pStyle w:val="ListParagraph"/>
        <w:numPr>
          <w:ilvl w:val="0"/>
          <w:numId w:val="6"/>
        </w:numPr>
        <w:spacing w:before="0" w:after="0" w:line="276" w:lineRule="auto"/>
        <w:ind w:left="357" w:hanging="357"/>
        <w:rPr>
          <w:rFonts w:asciiTheme="minorHAnsi" w:eastAsiaTheme="minorEastAsia" w:hAnsiTheme="minorHAnsi" w:cstheme="minorBidi"/>
          <w:iCs w:val="0"/>
          <w:lang w:bidi="ar-SA"/>
        </w:rPr>
      </w:pPr>
      <w:r w:rsidRPr="00A87065">
        <w:rPr>
          <w:b/>
          <w:bCs/>
        </w:rPr>
        <w:t>China growth prospects</w:t>
      </w:r>
      <w:r>
        <w:t xml:space="preserve"> –</w:t>
      </w:r>
      <w:r w:rsidR="00A87065" w:rsidRPr="00A87065">
        <w:t xml:space="preserve"> </w:t>
      </w:r>
      <w:r w:rsidR="002770F6">
        <w:t>T</w:t>
      </w:r>
      <w:r w:rsidR="00131EB9">
        <w:t>he P</w:t>
      </w:r>
      <w:r w:rsidR="002770F6">
        <w:t xml:space="preserve">eoples </w:t>
      </w:r>
      <w:r w:rsidR="00131EB9">
        <w:t>B</w:t>
      </w:r>
      <w:r w:rsidR="002770F6">
        <w:t xml:space="preserve">ank </w:t>
      </w:r>
      <w:r w:rsidR="00131EB9">
        <w:t>o</w:t>
      </w:r>
      <w:r w:rsidR="002770F6">
        <w:t xml:space="preserve">f </w:t>
      </w:r>
      <w:r w:rsidR="00131EB9">
        <w:t>C</w:t>
      </w:r>
      <w:r w:rsidR="002770F6">
        <w:t xml:space="preserve">hina has stated that it “would make use of its full monetary policy toolkit to provide </w:t>
      </w:r>
      <w:r w:rsidR="002770F6" w:rsidRPr="00726A15">
        <w:rPr>
          <w:b/>
          <w:bCs/>
        </w:rPr>
        <w:t>ample liquidity and support economic growth</w:t>
      </w:r>
      <w:r w:rsidR="003E1A6E">
        <w:t>.”</w:t>
      </w:r>
      <w:r w:rsidR="002770F6">
        <w:t xml:space="preserve"> PBOC Q4 MP report published 13</w:t>
      </w:r>
      <w:r w:rsidR="002770F6" w:rsidRPr="002770F6">
        <w:rPr>
          <w:vertAlign w:val="superscript"/>
        </w:rPr>
        <w:t>th</w:t>
      </w:r>
      <w:r w:rsidR="002770F6">
        <w:t xml:space="preserve"> February 2025.</w:t>
      </w:r>
      <w:r w:rsidR="00131EB9">
        <w:t xml:space="preserve"> </w:t>
      </w:r>
    </w:p>
    <w:p w14:paraId="019B2724" w14:textId="77777777" w:rsidR="00BB456F" w:rsidRDefault="00BB456F" w:rsidP="00BB456F">
      <w:pPr>
        <w:spacing w:before="0" w:after="0"/>
      </w:pPr>
    </w:p>
    <w:p w14:paraId="5CA33D06" w14:textId="77777777" w:rsidR="00BB456F" w:rsidRDefault="00BB456F" w:rsidP="00BB456F">
      <w:pPr>
        <w:spacing w:before="0" w:after="0"/>
      </w:pPr>
    </w:p>
    <w:p w14:paraId="3D754E57" w14:textId="77777777" w:rsidR="00BB456F" w:rsidRDefault="00BB456F" w:rsidP="00BB456F">
      <w:pPr>
        <w:spacing w:before="0" w:after="0"/>
      </w:pPr>
    </w:p>
    <w:p w14:paraId="5A2F4D57" w14:textId="77777777" w:rsidR="00BB456F" w:rsidRDefault="00BB456F" w:rsidP="00BB456F">
      <w:pPr>
        <w:spacing w:before="0" w:after="0"/>
      </w:pPr>
    </w:p>
    <w:p w14:paraId="7D7821F0" w14:textId="77777777" w:rsidR="00BB456F" w:rsidRDefault="00BB456F" w:rsidP="00BB456F">
      <w:pPr>
        <w:spacing w:before="0" w:after="0"/>
      </w:pPr>
    </w:p>
    <w:p w14:paraId="1435A6F5" w14:textId="77777777" w:rsidR="00BB456F" w:rsidRDefault="00BB456F" w:rsidP="00BB456F">
      <w:pPr>
        <w:spacing w:before="0" w:after="0"/>
      </w:pPr>
    </w:p>
    <w:p w14:paraId="25177CE2" w14:textId="77777777" w:rsidR="00BB456F" w:rsidRDefault="00BB456F" w:rsidP="00BB456F">
      <w:pPr>
        <w:spacing w:before="0" w:after="0"/>
      </w:pPr>
    </w:p>
    <w:p w14:paraId="62DCF6E7" w14:textId="77777777" w:rsidR="00BB456F" w:rsidRDefault="00BB456F" w:rsidP="00BB456F">
      <w:pPr>
        <w:spacing w:before="0" w:after="0"/>
      </w:pPr>
    </w:p>
    <w:p w14:paraId="46D6F0C5" w14:textId="4F08D211" w:rsidR="009E7EF6" w:rsidRPr="00A040F8" w:rsidRDefault="006C3294" w:rsidP="00A040F8">
      <w:pPr>
        <w:pStyle w:val="Heading2"/>
        <w:rPr>
          <w:rFonts w:asciiTheme="minorHAnsi" w:eastAsiaTheme="minorEastAsia" w:hAnsiTheme="minorHAnsi" w:cstheme="minorBidi"/>
          <w:iCs w:val="0"/>
          <w:color w:val="414042" w:themeColor="text1"/>
          <w:sz w:val="22"/>
          <w:lang w:val="en-AU" w:bidi="ar-SA"/>
        </w:rPr>
      </w:pPr>
      <w:r w:rsidRPr="00A040F8">
        <w:rPr>
          <w:rFonts w:asciiTheme="minorHAnsi" w:eastAsiaTheme="minorEastAsia" w:hAnsiTheme="minorHAnsi" w:cstheme="minorBidi"/>
          <w:iCs w:val="0"/>
          <w:color w:val="414042" w:themeColor="text1"/>
          <w:sz w:val="22"/>
          <w:lang w:val="en-AU" w:bidi="ar-SA"/>
        </w:rPr>
        <w:lastRenderedPageBreak/>
        <w:t>A</w:t>
      </w:r>
      <w:r w:rsidR="009E7EF6" w:rsidRPr="00A040F8">
        <w:rPr>
          <w:rFonts w:asciiTheme="minorHAnsi" w:eastAsiaTheme="minorEastAsia" w:hAnsiTheme="minorHAnsi" w:cstheme="minorBidi"/>
          <w:iCs w:val="0"/>
          <w:color w:val="414042" w:themeColor="text1"/>
          <w:sz w:val="22"/>
          <w:lang w:val="en-AU" w:bidi="ar-SA"/>
        </w:rPr>
        <w:t>sset Class Returns</w:t>
      </w:r>
    </w:p>
    <w:p w14:paraId="68C279E1" w14:textId="3DCFBA47" w:rsidR="00171550" w:rsidRDefault="0010573F" w:rsidP="00761513">
      <w:r>
        <w:t xml:space="preserve">Returns across the various asset classes </w:t>
      </w:r>
      <w:r w:rsidR="00C5655B">
        <w:t xml:space="preserve">ended </w:t>
      </w:r>
      <w:r w:rsidR="00726A15">
        <w:t>higher</w:t>
      </w:r>
      <w:r w:rsidR="00236F73">
        <w:t xml:space="preserve"> </w:t>
      </w:r>
      <w:r w:rsidR="0052476C">
        <w:t xml:space="preserve">over </w:t>
      </w:r>
      <w:r w:rsidR="00C5655B">
        <w:t>the month</w:t>
      </w:r>
      <w:r w:rsidR="004429BF">
        <w:t>:</w:t>
      </w:r>
    </w:p>
    <w:p w14:paraId="39C4DEAF" w14:textId="619D9FDE" w:rsidR="00193344" w:rsidRDefault="00726A15" w:rsidP="00A16C57">
      <w:pPr>
        <w:jc w:val="center"/>
        <w:rPr>
          <w:sz w:val="18"/>
        </w:rPr>
      </w:pPr>
      <w:r w:rsidRPr="00726A15">
        <w:rPr>
          <w:noProof/>
          <w:sz w:val="18"/>
        </w:rPr>
        <w:drawing>
          <wp:inline distT="0" distB="0" distL="0" distR="0" wp14:anchorId="6E609831" wp14:editId="1BE2A9ED">
            <wp:extent cx="4596130" cy="3676015"/>
            <wp:effectExtent l="0" t="0" r="0" b="635"/>
            <wp:docPr id="8714804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6130" cy="3676015"/>
                    </a:xfrm>
                    <a:prstGeom prst="rect">
                      <a:avLst/>
                    </a:prstGeom>
                    <a:noFill/>
                    <a:ln>
                      <a:noFill/>
                    </a:ln>
                  </pic:spPr>
                </pic:pic>
              </a:graphicData>
            </a:graphic>
          </wp:inline>
        </w:drawing>
      </w:r>
    </w:p>
    <w:p w14:paraId="23E92196" w14:textId="1FD80EAA" w:rsidR="00193344" w:rsidRPr="00BE778B" w:rsidRDefault="00193344" w:rsidP="00193344">
      <w:pPr>
        <w:jc w:val="center"/>
        <w:rPr>
          <w:sz w:val="18"/>
        </w:rPr>
      </w:pPr>
      <w:bookmarkStart w:id="1" w:name="_Hlk535352886"/>
      <w:r w:rsidRPr="00A70A09">
        <w:rPr>
          <w:sz w:val="18"/>
        </w:rPr>
        <w:t>Source data: Lonsec as of</w:t>
      </w:r>
      <w:r>
        <w:rPr>
          <w:sz w:val="18"/>
        </w:rPr>
        <w:t xml:space="preserve"> 3</w:t>
      </w:r>
      <w:r w:rsidR="00A3027F">
        <w:rPr>
          <w:sz w:val="18"/>
        </w:rPr>
        <w:t>1</w:t>
      </w:r>
      <w:r w:rsidR="00A3027F" w:rsidRPr="00A3027F">
        <w:rPr>
          <w:sz w:val="18"/>
          <w:vertAlign w:val="superscript"/>
        </w:rPr>
        <w:t>st</w:t>
      </w:r>
      <w:r w:rsidR="00A3027F">
        <w:rPr>
          <w:sz w:val="18"/>
        </w:rPr>
        <w:t xml:space="preserve"> </w:t>
      </w:r>
      <w:r w:rsidR="00726A15">
        <w:rPr>
          <w:sz w:val="18"/>
        </w:rPr>
        <w:t>January</w:t>
      </w:r>
      <w:r>
        <w:rPr>
          <w:sz w:val="18"/>
        </w:rPr>
        <w:t xml:space="preserve"> 202</w:t>
      </w:r>
      <w:r w:rsidR="00726A15">
        <w:rPr>
          <w:sz w:val="18"/>
        </w:rPr>
        <w:t>5</w:t>
      </w:r>
    </w:p>
    <w:bookmarkEnd w:id="1"/>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25457BAF"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89317F">
        <w:rPr>
          <w:b/>
          <w:bCs/>
        </w:rPr>
        <w:t xml:space="preserve">, employment </w:t>
      </w:r>
      <w:r w:rsidR="003C5801" w:rsidRPr="003C5801">
        <w:t xml:space="preserve">and the </w:t>
      </w:r>
      <w:r w:rsidR="00BB456F">
        <w:t>momentum</w:t>
      </w:r>
      <w:r w:rsidR="005738C3" w:rsidRPr="005A428D">
        <w:rPr>
          <w:b/>
          <w:bCs/>
        </w:rPr>
        <w:t xml:space="preserve"> </w:t>
      </w:r>
      <w:r w:rsidR="005738C3" w:rsidRPr="005738C3">
        <w:rPr>
          <w:b/>
          <w:bCs/>
        </w:rPr>
        <w:t xml:space="preserve">of </w:t>
      </w:r>
      <w:r w:rsidR="005738C3">
        <w:rPr>
          <w:b/>
          <w:bCs/>
        </w:rPr>
        <w:t xml:space="preserve">interest rate </w:t>
      </w:r>
      <w:r w:rsidR="005738C3" w:rsidRPr="005738C3">
        <w:rPr>
          <w:b/>
          <w:bCs/>
        </w:rPr>
        <w:t>easing</w:t>
      </w:r>
      <w:r w:rsidR="005738C3">
        <w:t xml:space="preserve"> for </w:t>
      </w:r>
      <w:r w:rsidR="003C5801" w:rsidRPr="003C5801">
        <w:t>Central Banks to</w:t>
      </w:r>
      <w:r w:rsidR="00C60EEF">
        <w:t xml:space="preserve"> look at </w:t>
      </w:r>
      <w:r w:rsidR="005738C3">
        <w:t>ov</w:t>
      </w:r>
      <w:r w:rsidR="00C60EEF">
        <w:t xml:space="preserve">er the longer </w:t>
      </w:r>
      <w:r w:rsidR="004273DE">
        <w:t>time</w:t>
      </w:r>
      <w:r w:rsidR="00C60EEF">
        <w:t xml:space="preserve"> </w:t>
      </w:r>
      <w:r w:rsidR="00937E69">
        <w:t xml:space="preserve">horizon </w:t>
      </w:r>
      <w:r w:rsidR="00C60EEF">
        <w:t xml:space="preserve">should inflation data continue to drift lower. </w:t>
      </w:r>
      <w:r w:rsidR="007343AC">
        <w:t>Unhedged g</w:t>
      </w:r>
      <w:r w:rsidR="00557108">
        <w:t xml:space="preserve">lobal shares </w:t>
      </w:r>
      <w:r w:rsidR="005738C3">
        <w:t xml:space="preserve">had returns </w:t>
      </w:r>
      <w:r w:rsidR="00F4622D">
        <w:t>were mostly unaffected by a strength</w:t>
      </w:r>
      <w:r w:rsidR="00382D5C">
        <w:t>en</w:t>
      </w:r>
      <w:r w:rsidR="005738C3">
        <w:t>ing</w:t>
      </w:r>
      <w:r w:rsidR="004B2806">
        <w:t xml:space="preserve"> </w:t>
      </w:r>
      <w:r w:rsidR="00F4622D">
        <w:t>AUD/USD</w:t>
      </w:r>
      <w:r w:rsidR="00557108">
        <w:t xml:space="preserve"> (0.</w:t>
      </w:r>
      <w:r w:rsidR="00382D5C">
        <w:t>6</w:t>
      </w:r>
      <w:r w:rsidR="00A3027F">
        <w:t>2</w:t>
      </w:r>
      <w:r w:rsidR="00F4622D">
        <w:t>25</w:t>
      </w:r>
      <w:r w:rsidR="005738C3">
        <w:t xml:space="preserve"> </w:t>
      </w:r>
      <w:r w:rsidR="005A428D">
        <w:t>from</w:t>
      </w:r>
      <w:r w:rsidR="00557108">
        <w:t xml:space="preserve"> 0.6</w:t>
      </w:r>
      <w:r w:rsidR="00F4622D">
        <w:t>2</w:t>
      </w:r>
      <w:r w:rsidR="00A3027F">
        <w:t>17</w:t>
      </w:r>
      <w:r w:rsidR="00557108">
        <w:t xml:space="preserve">) which had </w:t>
      </w:r>
      <w:r w:rsidR="0083662A">
        <w:t>a</w:t>
      </w:r>
      <w:r w:rsidR="00557108">
        <w:t xml:space="preserve"> </w:t>
      </w:r>
      <w:r w:rsidR="00F4622D" w:rsidRPr="00F4622D">
        <w:rPr>
          <w:b/>
          <w:bCs/>
        </w:rPr>
        <w:t>nega</w:t>
      </w:r>
      <w:r w:rsidR="00382D5C" w:rsidRPr="00755C0C">
        <w:rPr>
          <w:b/>
          <w:bCs/>
        </w:rPr>
        <w:t>ti</w:t>
      </w:r>
      <w:r w:rsidR="00382D5C" w:rsidRPr="00AE1347">
        <w:rPr>
          <w:b/>
          <w:bCs/>
        </w:rPr>
        <w:t>ve</w:t>
      </w:r>
      <w:r w:rsidR="00557108" w:rsidRPr="00AE1347">
        <w:rPr>
          <w:b/>
          <w:bCs/>
        </w:rPr>
        <w:t xml:space="preserve"> impact of </w:t>
      </w:r>
      <w:r w:rsidR="00F65F3F" w:rsidRPr="00AE1347">
        <w:rPr>
          <w:b/>
          <w:bCs/>
        </w:rPr>
        <w:t>(</w:t>
      </w:r>
      <w:r w:rsidR="00F4622D">
        <w:rPr>
          <w:b/>
          <w:bCs/>
        </w:rPr>
        <w:t>-0.13</w:t>
      </w:r>
      <w:r w:rsidR="00F65F3F" w:rsidRPr="00AE1347">
        <w:rPr>
          <w:b/>
          <w:bCs/>
        </w:rPr>
        <w:t xml:space="preserve">%) </w:t>
      </w:r>
      <w:r w:rsidR="0005073D" w:rsidRPr="00AE1347">
        <w:rPr>
          <w:b/>
          <w:bCs/>
        </w:rPr>
        <w:t>i</w:t>
      </w:r>
      <w:r w:rsidR="00557108" w:rsidRPr="00AE1347">
        <w:rPr>
          <w:b/>
          <w:bCs/>
        </w:rPr>
        <w:t xml:space="preserve">n </w:t>
      </w:r>
      <w:r w:rsidR="001D6939" w:rsidRPr="00AE1347">
        <w:rPr>
          <w:b/>
          <w:bCs/>
        </w:rPr>
        <w:t xml:space="preserve">AUD </w:t>
      </w:r>
      <w:r w:rsidR="00557108" w:rsidRPr="00AE1347">
        <w:rPr>
          <w:b/>
          <w:bCs/>
        </w:rPr>
        <w:t>returns</w:t>
      </w:r>
      <w:r w:rsidR="00557108">
        <w:t xml:space="preserve"> over the month</w:t>
      </w:r>
      <w:r w:rsidR="00EB2B42">
        <w:t xml:space="preserve"> for unhedged investors</w:t>
      </w:r>
      <w:r w:rsidR="00557108">
        <w:t>.</w:t>
      </w:r>
      <w:r w:rsidR="007B7DEB">
        <w:t xml:space="preserve"> </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7DDDCC05" w:rsidR="00317447" w:rsidRDefault="00D21E02" w:rsidP="00CC263B">
      <w:pPr>
        <w:jc w:val="center"/>
        <w:rPr>
          <w:sz w:val="18"/>
        </w:rPr>
      </w:pPr>
      <w:r w:rsidRPr="00D21E02">
        <w:rPr>
          <w:noProof/>
          <w:sz w:val="18"/>
        </w:rPr>
        <w:lastRenderedPageBreak/>
        <w:drawing>
          <wp:inline distT="0" distB="0" distL="0" distR="0" wp14:anchorId="13690927" wp14:editId="734D7711">
            <wp:extent cx="4651375" cy="3279775"/>
            <wp:effectExtent l="0" t="0" r="0" b="0"/>
            <wp:docPr id="20472721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1375" cy="3279775"/>
                    </a:xfrm>
                    <a:prstGeom prst="rect">
                      <a:avLst/>
                    </a:prstGeom>
                    <a:noFill/>
                    <a:ln>
                      <a:noFill/>
                    </a:ln>
                  </pic:spPr>
                </pic:pic>
              </a:graphicData>
            </a:graphic>
          </wp:inline>
        </w:drawing>
      </w:r>
    </w:p>
    <w:p w14:paraId="1D14B791" w14:textId="636860AC" w:rsidR="00CC263B" w:rsidRPr="00BE778B" w:rsidRDefault="00CC263B" w:rsidP="00CC263B">
      <w:pPr>
        <w:jc w:val="center"/>
        <w:rPr>
          <w:sz w:val="18"/>
        </w:rPr>
      </w:pPr>
      <w:r w:rsidRPr="00A70A09">
        <w:rPr>
          <w:sz w:val="18"/>
        </w:rPr>
        <w:t>Source data: Lonsec as of</w:t>
      </w:r>
      <w:r>
        <w:rPr>
          <w:sz w:val="18"/>
        </w:rPr>
        <w:t xml:space="preserve"> </w:t>
      </w:r>
      <w:r w:rsidR="00B437CB">
        <w:rPr>
          <w:sz w:val="18"/>
        </w:rPr>
        <w:t>3</w:t>
      </w:r>
      <w:r w:rsidR="00A3027F">
        <w:rPr>
          <w:sz w:val="18"/>
        </w:rPr>
        <w:t>1</w:t>
      </w:r>
      <w:r w:rsidR="00A3027F" w:rsidRPr="00A3027F">
        <w:rPr>
          <w:sz w:val="18"/>
          <w:vertAlign w:val="superscript"/>
        </w:rPr>
        <w:t>st</w:t>
      </w:r>
      <w:r w:rsidR="00A3027F">
        <w:rPr>
          <w:sz w:val="18"/>
        </w:rPr>
        <w:t xml:space="preserve"> </w:t>
      </w:r>
      <w:r w:rsidR="00D21E02">
        <w:rPr>
          <w:sz w:val="18"/>
        </w:rPr>
        <w:t>January</w:t>
      </w:r>
      <w:r>
        <w:rPr>
          <w:sz w:val="18"/>
        </w:rPr>
        <w:t xml:space="preserve"> 202</w:t>
      </w:r>
      <w:r w:rsidR="00D21E02">
        <w:rPr>
          <w:sz w:val="18"/>
        </w:rPr>
        <w:t>5</w:t>
      </w:r>
    </w:p>
    <w:p w14:paraId="114DA578" w14:textId="094E75D5"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755C0C">
        <w:t>+</w:t>
      </w:r>
      <w:r w:rsidR="00BB456F">
        <w:t>2</w:t>
      </w:r>
      <w:r w:rsidR="00A3027F">
        <w:t>.</w:t>
      </w:r>
      <w:r w:rsidR="00D21E02">
        <w:t>76</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755C0C">
        <w:t>+</w:t>
      </w:r>
      <w:r w:rsidR="00A3027F">
        <w:t>2.</w:t>
      </w:r>
      <w:r w:rsidR="00D21E02">
        <w:t>03</w:t>
      </w:r>
      <w:r w:rsidR="009E7EF6">
        <w:t>%)</w:t>
      </w:r>
      <w:r w:rsidR="00E51A06">
        <w:t xml:space="preserve">, </w:t>
      </w:r>
      <w:r w:rsidR="009E7EF6">
        <w:t>Asia ex Japan (</w:t>
      </w:r>
      <w:r w:rsidR="00A3027F">
        <w:t>+</w:t>
      </w:r>
      <w:r w:rsidR="00D21E02">
        <w:t>0.6</w:t>
      </w:r>
      <w:r w:rsidR="00A3027F">
        <w:t>5</w:t>
      </w:r>
      <w:r w:rsidR="009E7EF6">
        <w:t>%)</w:t>
      </w:r>
      <w:r w:rsidR="00E51A06">
        <w:t>,</w:t>
      </w:r>
      <w:r w:rsidR="009E7EF6">
        <w:t xml:space="preserve"> Japan (</w:t>
      </w:r>
      <w:r w:rsidR="00BB456F">
        <w:t>+</w:t>
      </w:r>
      <w:r w:rsidR="00D21E02">
        <w:t>0.82</w:t>
      </w:r>
      <w:r w:rsidR="009E7EF6">
        <w:t>%)</w:t>
      </w:r>
      <w:r w:rsidR="00E51A06">
        <w:t>,</w:t>
      </w:r>
      <w:r w:rsidR="009E7EF6">
        <w:t xml:space="preserve"> the UK (</w:t>
      </w:r>
      <w:r w:rsidR="00755C0C">
        <w:t>+</w:t>
      </w:r>
      <w:r w:rsidR="00D21E02">
        <w:t>4.44</w:t>
      </w:r>
      <w:r w:rsidR="009E7EF6">
        <w:t>%)</w:t>
      </w:r>
      <w:r w:rsidR="00E51A06">
        <w:t>,</w:t>
      </w:r>
      <w:r w:rsidR="009E7EF6">
        <w:t xml:space="preserve"> Europe</w:t>
      </w:r>
      <w:r w:rsidR="00776C10">
        <w:t xml:space="preserve"> </w:t>
      </w:r>
      <w:r w:rsidR="00E51A06">
        <w:t>(</w:t>
      </w:r>
      <w:r w:rsidR="00A3027F">
        <w:t>+</w:t>
      </w:r>
      <w:r w:rsidR="00D21E02">
        <w:t>6.11</w:t>
      </w:r>
      <w:r w:rsidR="005909DA">
        <w:t>%</w:t>
      </w:r>
      <w:r w:rsidR="00E51A06">
        <w:t xml:space="preserve">) </w:t>
      </w:r>
      <w:r w:rsidR="00776C10">
        <w:t>and</w:t>
      </w:r>
      <w:r w:rsidR="009E7EF6">
        <w:t xml:space="preserve"> </w:t>
      </w:r>
      <w:r w:rsidR="00776C10">
        <w:t>the Emerging Markets</w:t>
      </w:r>
      <w:r w:rsidR="00E51A06">
        <w:t xml:space="preserve"> (</w:t>
      </w:r>
      <w:r w:rsidR="00A3027F">
        <w:t>+</w:t>
      </w:r>
      <w:r w:rsidR="00D21E02">
        <w:t>1.06</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43C32AE9" w14:textId="530091C2" w:rsidR="00752610" w:rsidRDefault="00802B2D" w:rsidP="00080677">
      <w:r>
        <w:t xml:space="preserve">Australian </w:t>
      </w:r>
      <w:r w:rsidR="00D019FE">
        <w:t xml:space="preserve">shares </w:t>
      </w:r>
      <w:r w:rsidR="00317447">
        <w:t xml:space="preserve">posted </w:t>
      </w:r>
      <w:r w:rsidR="00B755CF">
        <w:t>posi</w:t>
      </w:r>
      <w:r w:rsidR="00BB456F">
        <w:t>tive</w:t>
      </w:r>
      <w:r w:rsidR="009D2BC7">
        <w:t xml:space="preserve"> returns </w:t>
      </w:r>
      <w:r w:rsidR="00DA2BBC">
        <w:t xml:space="preserve">reflecting the </w:t>
      </w:r>
      <w:r w:rsidR="00B755CF">
        <w:t xml:space="preserve">thin </w:t>
      </w:r>
      <w:r w:rsidR="00BB456F">
        <w:t>market</w:t>
      </w:r>
      <w:r w:rsidR="00B755CF">
        <w:t xml:space="preserve">s and cash flows from bond coupons, trust distributions and company dividends paid at the end of the half-year. </w:t>
      </w:r>
      <w:r w:rsidR="009D26B6">
        <w:t>Sh</w:t>
      </w:r>
      <w:r w:rsidR="00965252">
        <w:t xml:space="preserve">ares </w:t>
      </w:r>
      <w:r w:rsidR="00EF6467">
        <w:t>finished</w:t>
      </w:r>
      <w:r w:rsidR="009D26B6">
        <w:t xml:space="preserve"> </w:t>
      </w:r>
      <w:r w:rsidR="000E3566">
        <w:t>(</w:t>
      </w:r>
      <w:r w:rsidR="00B755CF">
        <w:t>+4.57</w:t>
      </w:r>
      <w:r w:rsidR="000E3566">
        <w:t>%) for the month</w:t>
      </w:r>
      <w:r w:rsidR="0089710F">
        <w:t xml:space="preserve"> and (</w:t>
      </w:r>
      <w:r w:rsidR="00B755CF">
        <w:t>+5.11</w:t>
      </w:r>
      <w:r w:rsidR="0089710F">
        <w:t>%) over the last three months</w:t>
      </w:r>
      <w:r w:rsidR="00992554">
        <w:t>.</w:t>
      </w:r>
      <w:r w:rsidR="000E3566">
        <w:t xml:space="preserve"> </w:t>
      </w:r>
    </w:p>
    <w:p w14:paraId="6D122B4F" w14:textId="0D4FA6EB" w:rsidR="00D96147" w:rsidRDefault="00992554" w:rsidP="00080677">
      <w:r>
        <w:t>The focus for investors was</w:t>
      </w:r>
      <w:r w:rsidR="00F02508">
        <w:t>:</w:t>
      </w:r>
    </w:p>
    <w:p w14:paraId="717593C6" w14:textId="77777777" w:rsidR="009D2BC7" w:rsidRPr="009D2BC7" w:rsidRDefault="009D2BC7" w:rsidP="003C40F3">
      <w:pPr>
        <w:pStyle w:val="ListParagraph"/>
        <w:numPr>
          <w:ilvl w:val="0"/>
          <w:numId w:val="7"/>
        </w:numPr>
      </w:pPr>
      <w:r w:rsidRPr="009D2BC7">
        <w:rPr>
          <w:b/>
          <w:bCs/>
        </w:rPr>
        <w:t>Cost of living expenses</w:t>
      </w:r>
      <w:r w:rsidRPr="009D2BC7">
        <w:t xml:space="preserve"> and the impact on consumer spending.</w:t>
      </w:r>
    </w:p>
    <w:p w14:paraId="46B2FCA7" w14:textId="3DD4E7E2" w:rsidR="009D2BC7" w:rsidRPr="00AE1347" w:rsidRDefault="00AE1347" w:rsidP="003C40F3">
      <w:pPr>
        <w:pStyle w:val="ListParagraph"/>
        <w:numPr>
          <w:ilvl w:val="0"/>
          <w:numId w:val="7"/>
        </w:numPr>
      </w:pPr>
      <w:r w:rsidRPr="00AE1347">
        <w:rPr>
          <w:b/>
          <w:bCs/>
        </w:rPr>
        <w:t>Commodity Prices</w:t>
      </w:r>
      <w:r w:rsidRPr="00AE1347">
        <w:t xml:space="preserve"> and their impact on </w:t>
      </w:r>
      <w:r>
        <w:t>c</w:t>
      </w:r>
      <w:r w:rsidR="009D2BC7" w:rsidRPr="00AE1347">
        <w:t xml:space="preserve">ompany profits </w:t>
      </w:r>
      <w:r w:rsidR="001F41D2" w:rsidRPr="00AE1347">
        <w:t>and forward earnings guidance</w:t>
      </w:r>
      <w:r w:rsidR="009D2BC7" w:rsidRPr="00AE1347">
        <w:t>.</w:t>
      </w:r>
    </w:p>
    <w:p w14:paraId="5BBF831F" w14:textId="0951F238" w:rsidR="009D26B6" w:rsidRPr="009D2BC7" w:rsidRDefault="009D26B6" w:rsidP="003C40F3">
      <w:pPr>
        <w:pStyle w:val="ListParagraph"/>
        <w:numPr>
          <w:ilvl w:val="0"/>
          <w:numId w:val="7"/>
        </w:numPr>
      </w:pPr>
      <w:r w:rsidRPr="009D2BC7">
        <w:rPr>
          <w:b/>
          <w:bCs/>
        </w:rPr>
        <w:t>Consumer confidence</w:t>
      </w:r>
      <w:r w:rsidRPr="009D2BC7">
        <w:t xml:space="preserve"> post the </w:t>
      </w:r>
      <w:r w:rsidR="004F220F">
        <w:t xml:space="preserve">offshore </w:t>
      </w:r>
      <w:r w:rsidRPr="009D2BC7">
        <w:t>interest rate</w:t>
      </w:r>
      <w:r w:rsidR="004F220F">
        <w:t xml:space="preserve"> changes</w:t>
      </w:r>
      <w:r w:rsidR="00AE1347">
        <w:t xml:space="preserve"> and inflation impacts</w:t>
      </w:r>
      <w:r w:rsidRPr="009D2BC7">
        <w:t>.</w:t>
      </w:r>
    </w:p>
    <w:p w14:paraId="17FE682E" w14:textId="64819F0C" w:rsidR="00EE74FA" w:rsidRDefault="00EE74FA" w:rsidP="003C40F3">
      <w:pPr>
        <w:pStyle w:val="ListParagraph"/>
        <w:numPr>
          <w:ilvl w:val="0"/>
          <w:numId w:val="7"/>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3FE9A2B8" w:rsidR="002D1C33" w:rsidRDefault="00EE74FA" w:rsidP="003C40F3">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41F529C9" w14:textId="758EBDB4" w:rsidR="00AF697A" w:rsidRDefault="0089710F" w:rsidP="00AF697A">
      <w:r>
        <w:t>C</w:t>
      </w:r>
      <w:r w:rsidR="00E05A34">
        <w:t>om</w:t>
      </w:r>
      <w:r w:rsidR="009E7EF6" w:rsidRPr="00F90325">
        <w:t xml:space="preserve">modity markets </w:t>
      </w:r>
      <w:r w:rsidR="00457450">
        <w:t>ended</w:t>
      </w:r>
      <w:r w:rsidR="00E32E30">
        <w:t xml:space="preserve"> </w:t>
      </w:r>
      <w:r w:rsidR="009F0A63">
        <w:t>mixed</w:t>
      </w:r>
      <w:r w:rsidR="00FC5F13">
        <w:t xml:space="preserve"> </w:t>
      </w:r>
      <w:r w:rsidR="0056303E">
        <w:t xml:space="preserve">with </w:t>
      </w:r>
      <w:r w:rsidR="009E7EF6" w:rsidRPr="00F90325">
        <w:t>Iron Ore clos</w:t>
      </w:r>
      <w:r w:rsidR="00040E36">
        <w:t>ing</w:t>
      </w:r>
      <w:r w:rsidR="009E7EF6" w:rsidRPr="00F90325">
        <w:t xml:space="preserve"> at US$</w:t>
      </w:r>
      <w:r w:rsidR="009F0A63">
        <w:t>10</w:t>
      </w:r>
      <w:r w:rsidR="00B755CF">
        <w:t>1</w:t>
      </w:r>
      <w:r w:rsidR="00A3027F">
        <w:t>.</w:t>
      </w:r>
      <w:r w:rsidR="00B755CF">
        <w:t>59</w:t>
      </w:r>
      <w:r w:rsidR="009E7EF6" w:rsidRPr="00F90325">
        <w:t xml:space="preserve"> </w:t>
      </w:r>
      <w:r w:rsidR="006D3802">
        <w:t xml:space="preserve">per tonne </w:t>
      </w:r>
      <w:r w:rsidR="00910A84">
        <w:t xml:space="preserve">at the end of </w:t>
      </w:r>
      <w:r w:rsidR="00B755CF">
        <w:t>January</w:t>
      </w:r>
      <w:r w:rsidR="00AA627D">
        <w:t xml:space="preserve"> 202</w:t>
      </w:r>
      <w:r w:rsidR="00B755CF">
        <w:t>5</w:t>
      </w:r>
      <w:r w:rsidR="00910A84">
        <w:t xml:space="preserve"> </w:t>
      </w:r>
      <w:r w:rsidR="00A85A05" w:rsidRPr="00F90325">
        <w:t xml:space="preserve">with </w:t>
      </w:r>
      <w:r w:rsidR="00910A84">
        <w:t xml:space="preserve">a </w:t>
      </w:r>
      <w:r w:rsidR="00A85A05" w:rsidRPr="00F90325">
        <w:t xml:space="preserve">monthly </w:t>
      </w:r>
      <w:r w:rsidR="00B755CF">
        <w:t xml:space="preserve">loss </w:t>
      </w:r>
      <w:r w:rsidR="00A3027F">
        <w:t>of</w:t>
      </w:r>
      <w:r w:rsidR="00A85A05" w:rsidRPr="00F90325">
        <w:t xml:space="preserve"> (</w:t>
      </w:r>
      <w:r w:rsidR="00B755CF">
        <w:t>-1.95</w:t>
      </w:r>
      <w:r w:rsidR="00A85A05" w:rsidRPr="00F90325">
        <w:t xml:space="preserve">%) </w:t>
      </w:r>
      <w:r w:rsidR="00FC5F13">
        <w:t xml:space="preserve">and </w:t>
      </w:r>
      <w:r w:rsidR="00B755CF">
        <w:t>losses</w:t>
      </w:r>
      <w:r w:rsidR="00C44EA9">
        <w:t xml:space="preserve"> of </w:t>
      </w:r>
      <w:r w:rsidR="009E7EF6" w:rsidRPr="00F90325">
        <w:t>(</w:t>
      </w:r>
      <w:r w:rsidR="00B755CF">
        <w:t>-2.11</w:t>
      </w:r>
      <w:r w:rsidR="00E95AF9">
        <w:t xml:space="preserve">%) </w:t>
      </w:r>
      <w:r w:rsidR="009E7EF6" w:rsidRPr="00F90325">
        <w:t xml:space="preserve">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A3027F">
        <w:t>higher</w:t>
      </w:r>
      <w:r w:rsidR="008F7018" w:rsidRPr="00F90325">
        <w:t xml:space="preserve"> at US$</w:t>
      </w:r>
      <w:r w:rsidR="00A3027F">
        <w:t>7</w:t>
      </w:r>
      <w:r w:rsidR="00B755CF">
        <w:t>2.53</w:t>
      </w:r>
      <w:r w:rsidR="008F7018" w:rsidRPr="00F90325">
        <w:t xml:space="preserve"> </w:t>
      </w:r>
      <w:r w:rsidR="008F7018">
        <w:t xml:space="preserve">a barrel </w:t>
      </w:r>
      <w:r w:rsidR="008F7018" w:rsidRPr="00F90325">
        <w:t>at the end o</w:t>
      </w:r>
      <w:r w:rsidR="008F7018">
        <w:t>f</w:t>
      </w:r>
      <w:r w:rsidR="008F7018" w:rsidRPr="00F90325">
        <w:t xml:space="preserve"> </w:t>
      </w:r>
      <w:r w:rsidR="00B755CF">
        <w:t>January</w:t>
      </w:r>
      <w:r w:rsidR="00AA627D">
        <w:t xml:space="preserve"> 202</w:t>
      </w:r>
      <w:r w:rsidR="00B755CF">
        <w:t>5</w:t>
      </w:r>
      <w:r w:rsidR="008F7018" w:rsidRPr="00F90325">
        <w:t xml:space="preserve"> </w:t>
      </w:r>
      <w:r w:rsidR="008F7018">
        <w:t>resulting in</w:t>
      </w:r>
      <w:r w:rsidR="008F7018" w:rsidRPr="00F90325">
        <w:t xml:space="preserve"> </w:t>
      </w:r>
      <w:r w:rsidR="00A3027F">
        <w:t>gains</w:t>
      </w:r>
      <w:r w:rsidR="006C68B8">
        <w:t xml:space="preserve"> of</w:t>
      </w:r>
      <w:r w:rsidR="008F7018" w:rsidRPr="00F90325">
        <w:t xml:space="preserve"> (</w:t>
      </w:r>
      <w:r w:rsidR="00046899">
        <w:t>+</w:t>
      </w:r>
      <w:r w:rsidR="00B755CF">
        <w:t>1.13</w:t>
      </w:r>
      <w:r w:rsidR="00E77097">
        <w:t>%</w:t>
      </w:r>
      <w:r w:rsidR="008F7018" w:rsidRPr="00F90325">
        <w:t xml:space="preserve">) for the month </w:t>
      </w:r>
      <w:r w:rsidR="00107972">
        <w:t xml:space="preserve">and </w:t>
      </w:r>
      <w:r w:rsidR="00B755CF">
        <w:t>up</w:t>
      </w:r>
      <w:r w:rsidR="00F93701">
        <w:t xml:space="preserve"> </w:t>
      </w:r>
      <w:r w:rsidR="008F7018" w:rsidRPr="00F90325">
        <w:t>(</w:t>
      </w:r>
      <w:r w:rsidR="00B755CF">
        <w:t>+4.72</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127F8A9B" w:rsidR="009E7EF6" w:rsidRPr="00AF697A" w:rsidRDefault="009E7EF6" w:rsidP="00AF697A">
      <w:pPr>
        <w:rPr>
          <w:b/>
          <w:bCs/>
          <w:iCs/>
        </w:rPr>
      </w:pPr>
      <w:r w:rsidRPr="00AF697A">
        <w:rPr>
          <w:b/>
          <w:bCs/>
        </w:rPr>
        <w:lastRenderedPageBreak/>
        <w:t>Australian Industry Returns</w:t>
      </w:r>
      <w:r w:rsidRPr="00AF697A">
        <w:rPr>
          <w:b/>
          <w:bCs/>
        </w:rPr>
        <w:tab/>
      </w:r>
    </w:p>
    <w:p w14:paraId="1130FA96" w14:textId="575AAAA5"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224632">
        <w:t>January</w:t>
      </w:r>
      <w:r w:rsidR="00AA627D">
        <w:t xml:space="preserve"> 202</w:t>
      </w:r>
      <w:r w:rsidR="00224632">
        <w:t>5</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1744F24C" w14:textId="4228224E" w:rsidR="00AF697A" w:rsidRDefault="00224632" w:rsidP="00193344">
      <w:pPr>
        <w:spacing w:before="120" w:after="120"/>
        <w:jc w:val="center"/>
      </w:pPr>
      <w:r w:rsidRPr="00224632">
        <w:rPr>
          <w:noProof/>
        </w:rPr>
        <w:drawing>
          <wp:inline distT="0" distB="0" distL="0" distR="0" wp14:anchorId="128CCC34" wp14:editId="72B26DB8">
            <wp:extent cx="4017010" cy="3608705"/>
            <wp:effectExtent l="0" t="0" r="2540" b="0"/>
            <wp:docPr id="10368034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7010" cy="3608705"/>
                    </a:xfrm>
                    <a:prstGeom prst="rect">
                      <a:avLst/>
                    </a:prstGeom>
                    <a:noFill/>
                    <a:ln>
                      <a:noFill/>
                    </a:ln>
                  </pic:spPr>
                </pic:pic>
              </a:graphicData>
            </a:graphic>
          </wp:inline>
        </w:drawing>
      </w:r>
    </w:p>
    <w:p w14:paraId="70580A2B" w14:textId="5B3FDC99" w:rsidR="00193344" w:rsidRPr="00BE778B" w:rsidRDefault="00193344" w:rsidP="00193344">
      <w:pPr>
        <w:jc w:val="center"/>
        <w:rPr>
          <w:sz w:val="18"/>
        </w:rPr>
      </w:pPr>
      <w:r w:rsidRPr="00A70A09">
        <w:rPr>
          <w:sz w:val="18"/>
        </w:rPr>
        <w:t>Source data: Lonsec as of</w:t>
      </w:r>
      <w:r>
        <w:rPr>
          <w:sz w:val="18"/>
        </w:rPr>
        <w:t xml:space="preserve"> 3</w:t>
      </w:r>
      <w:r w:rsidR="00DD1809">
        <w:rPr>
          <w:sz w:val="18"/>
        </w:rPr>
        <w:t>1</w:t>
      </w:r>
      <w:r w:rsidR="00DD1809" w:rsidRPr="00DD1809">
        <w:rPr>
          <w:sz w:val="18"/>
          <w:vertAlign w:val="superscript"/>
        </w:rPr>
        <w:t>st</w:t>
      </w:r>
      <w:r w:rsidR="00DD1809">
        <w:rPr>
          <w:sz w:val="18"/>
        </w:rPr>
        <w:t xml:space="preserve"> </w:t>
      </w:r>
      <w:r w:rsidR="00224632">
        <w:rPr>
          <w:sz w:val="18"/>
        </w:rPr>
        <w:t>January</w:t>
      </w:r>
      <w:r>
        <w:rPr>
          <w:sz w:val="18"/>
        </w:rPr>
        <w:t xml:space="preserve"> 202</w:t>
      </w:r>
      <w:r w:rsidR="00224632">
        <w:rPr>
          <w:sz w:val="18"/>
        </w:rPr>
        <w:t>5</w:t>
      </w:r>
    </w:p>
    <w:p w14:paraId="58FD09A7" w14:textId="41A510B6" w:rsidR="009E7EF6" w:rsidRDefault="00224632" w:rsidP="009E7EF6">
      <w:pPr>
        <w:spacing w:before="120" w:after="120"/>
      </w:pPr>
      <w:r>
        <w:rPr>
          <w:noProof/>
        </w:rPr>
        <w:t>Consumer Discretionary</w:t>
      </w:r>
      <w:r w:rsidR="004C4389">
        <w:rPr>
          <w:noProof/>
        </w:rPr>
        <w:t xml:space="preserve"> was</w:t>
      </w:r>
      <w:r w:rsidR="00AF697A">
        <w:rPr>
          <w:noProof/>
        </w:rPr>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rsidR="009E7EF6">
        <w:t>(</w:t>
      </w:r>
      <w:r w:rsidR="00D46064">
        <w:t>+</w:t>
      </w:r>
      <w:r>
        <w:t>7.13</w:t>
      </w:r>
      <w:r w:rsidR="009E7EF6">
        <w:t>%)</w:t>
      </w:r>
      <w:r w:rsidR="00757323">
        <w:t>.</w:t>
      </w:r>
    </w:p>
    <w:p w14:paraId="1BD9D657" w14:textId="47B1DB77" w:rsidR="00BF751B" w:rsidRDefault="00224632" w:rsidP="00BF751B">
      <w:pPr>
        <w:spacing w:before="120" w:after="120"/>
      </w:pPr>
      <w:r>
        <w:t>Utilities</w:t>
      </w:r>
      <w:r w:rsidR="004C4389">
        <w:t xml:space="preserve"> </w:t>
      </w:r>
      <w:r w:rsidR="00F4575B">
        <w:t>were</w:t>
      </w:r>
      <w:r w:rsidR="00C041DA">
        <w:t xml:space="preserve"> the </w:t>
      </w:r>
      <w:r w:rsidR="006D5106">
        <w:t xml:space="preserve">worst performing sector </w:t>
      </w:r>
      <w:r w:rsidR="00B700A9">
        <w:t>finishing</w:t>
      </w:r>
      <w:r w:rsidR="0058757B">
        <w:t xml:space="preserve"> </w:t>
      </w:r>
      <w:r w:rsidR="00BF751B">
        <w:t>(</w:t>
      </w:r>
      <w:r w:rsidR="00053887">
        <w:t>-</w:t>
      </w:r>
      <w:r>
        <w:t>2.40</w:t>
      </w:r>
      <w:r w:rsidR="00BF751B">
        <w:t>%</w:t>
      </w:r>
      <w:r w:rsidR="004A252E">
        <w:t>)</w:t>
      </w:r>
      <w:r w:rsidR="00EE6DB0">
        <w:t xml:space="preserve"> for the month</w:t>
      </w:r>
      <w:r w:rsidR="00EF3062">
        <w:t xml:space="preserve">. </w:t>
      </w:r>
    </w:p>
    <w:p w14:paraId="42C2F3D2" w14:textId="77777777" w:rsidR="00F73A24" w:rsidRDefault="00F73A24" w:rsidP="00BF751B">
      <w:pPr>
        <w:spacing w:before="120" w:after="120"/>
      </w:pPr>
    </w:p>
    <w:p w14:paraId="4972E063" w14:textId="77777777" w:rsidR="00F73A24" w:rsidRDefault="00F73A24" w:rsidP="00BF751B">
      <w:pPr>
        <w:spacing w:before="120" w:after="120"/>
      </w:pPr>
    </w:p>
    <w:p w14:paraId="28959CBA" w14:textId="77777777" w:rsidR="00F73A24" w:rsidRDefault="00F73A24" w:rsidP="00BF751B">
      <w:pPr>
        <w:spacing w:before="120" w:after="120"/>
      </w:pPr>
    </w:p>
    <w:p w14:paraId="39A26316" w14:textId="77777777" w:rsidR="00F73A24" w:rsidRDefault="00F73A24" w:rsidP="00BF751B">
      <w:pPr>
        <w:spacing w:before="120" w:after="120"/>
      </w:pPr>
    </w:p>
    <w:p w14:paraId="536FE7F5" w14:textId="77777777" w:rsidR="00F73A24" w:rsidRDefault="00F73A24" w:rsidP="00BF751B">
      <w:pPr>
        <w:spacing w:before="120" w:after="120"/>
      </w:pPr>
    </w:p>
    <w:p w14:paraId="54C4534C" w14:textId="77777777" w:rsidR="00F73A24" w:rsidRDefault="00F73A24" w:rsidP="00BF751B">
      <w:pPr>
        <w:spacing w:before="120" w:after="120"/>
      </w:pPr>
    </w:p>
    <w:p w14:paraId="7BB09B8E" w14:textId="77777777" w:rsidR="00F73A24" w:rsidRDefault="00F73A24" w:rsidP="00BF751B">
      <w:pPr>
        <w:spacing w:before="120" w:after="120"/>
      </w:pPr>
    </w:p>
    <w:p w14:paraId="2F75D568" w14:textId="77777777" w:rsidR="00F73A24" w:rsidRDefault="00F73A24" w:rsidP="00BF751B">
      <w:pPr>
        <w:spacing w:before="120" w:after="120"/>
      </w:pPr>
    </w:p>
    <w:p w14:paraId="5A4ACED6" w14:textId="4C158673" w:rsidR="00F73A24" w:rsidRPr="00F73A24" w:rsidRDefault="00F73A24" w:rsidP="00BF751B">
      <w:pPr>
        <w:spacing w:before="120" w:after="120"/>
        <w:rPr>
          <w:b/>
          <w:bCs/>
        </w:rPr>
      </w:pPr>
      <w:r w:rsidRPr="00F73A24">
        <w:rPr>
          <w:b/>
          <w:bCs/>
        </w:rPr>
        <w:lastRenderedPageBreak/>
        <w:t>Australian Shares - Sector Returns</w:t>
      </w:r>
    </w:p>
    <w:p w14:paraId="6051FE95" w14:textId="260D1042" w:rsidR="006C68B8" w:rsidRDefault="00F73A24" w:rsidP="001F41D2">
      <w:pPr>
        <w:spacing w:before="120" w:after="120"/>
        <w:jc w:val="center"/>
      </w:pPr>
      <w:r w:rsidRPr="00F73A24">
        <w:rPr>
          <w:noProof/>
        </w:rPr>
        <w:drawing>
          <wp:inline distT="0" distB="0" distL="0" distR="0" wp14:anchorId="03FAD887" wp14:editId="0D202A8D">
            <wp:extent cx="4218305" cy="2609215"/>
            <wp:effectExtent l="0" t="0" r="0" b="635"/>
            <wp:docPr id="3391025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8305" cy="2609215"/>
                    </a:xfrm>
                    <a:prstGeom prst="rect">
                      <a:avLst/>
                    </a:prstGeom>
                    <a:noFill/>
                    <a:ln>
                      <a:noFill/>
                    </a:ln>
                  </pic:spPr>
                </pic:pic>
              </a:graphicData>
            </a:graphic>
          </wp:inline>
        </w:drawing>
      </w:r>
    </w:p>
    <w:p w14:paraId="7EE381D5" w14:textId="361E5C5D"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E67B5F">
        <w:rPr>
          <w:sz w:val="18"/>
        </w:rPr>
        <w:t>3</w:t>
      </w:r>
      <w:r w:rsidR="00DD1809">
        <w:rPr>
          <w:sz w:val="18"/>
        </w:rPr>
        <w:t>1</w:t>
      </w:r>
      <w:r w:rsidR="00DD1809" w:rsidRPr="00DD1809">
        <w:rPr>
          <w:sz w:val="18"/>
          <w:vertAlign w:val="superscript"/>
        </w:rPr>
        <w:t>st</w:t>
      </w:r>
      <w:r w:rsidR="00DD1809">
        <w:rPr>
          <w:sz w:val="18"/>
        </w:rPr>
        <w:t xml:space="preserve"> </w:t>
      </w:r>
      <w:r w:rsidR="004A6010">
        <w:rPr>
          <w:sz w:val="18"/>
        </w:rPr>
        <w:t>January</w:t>
      </w:r>
      <w:r w:rsidR="007D590D">
        <w:rPr>
          <w:sz w:val="18"/>
        </w:rPr>
        <w:t xml:space="preserve"> 2</w:t>
      </w:r>
      <w:r w:rsidR="00AA627D">
        <w:rPr>
          <w:sz w:val="18"/>
        </w:rPr>
        <w:t>02</w:t>
      </w:r>
      <w:r w:rsidR="004A6010">
        <w:rPr>
          <w:sz w:val="18"/>
        </w:rPr>
        <w:t>5</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2EB1153E" w:rsidR="00585652" w:rsidRDefault="009E7EF6" w:rsidP="009E7EF6">
      <w:pPr>
        <w:spacing w:before="120" w:after="120"/>
      </w:pPr>
      <w:r>
        <w:t xml:space="preserve">Bonds and Fixed Interest markets </w:t>
      </w:r>
      <w:r w:rsidR="00F43A7D">
        <w:t>finished</w:t>
      </w:r>
      <w:r w:rsidR="00C175CC">
        <w:t xml:space="preserve"> </w:t>
      </w:r>
      <w:r w:rsidR="001846E3">
        <w:t>in</w:t>
      </w:r>
      <w:r w:rsidR="00B743B6">
        <w:t xml:space="preserve"> </w:t>
      </w:r>
      <w:r w:rsidR="00072B77" w:rsidRPr="00072B77">
        <w:rPr>
          <w:b/>
          <w:bCs/>
        </w:rPr>
        <w:t>nega</w:t>
      </w:r>
      <w:r w:rsidR="00B743B6" w:rsidRPr="00072B77">
        <w:rPr>
          <w:b/>
          <w:bCs/>
        </w:rPr>
        <w:t>t</w:t>
      </w:r>
      <w:r w:rsidR="002E3192" w:rsidRPr="00B743B6">
        <w:rPr>
          <w:b/>
          <w:bCs/>
        </w:rPr>
        <w:t>ive</w:t>
      </w:r>
      <w:r w:rsidR="001846E3" w:rsidRPr="00B743B6">
        <w:rPr>
          <w:b/>
          <w:bCs/>
        </w:rPr>
        <w:t xml:space="preserve"> </w:t>
      </w:r>
      <w:r w:rsidR="001846E3" w:rsidRPr="0097756C">
        <w:rPr>
          <w:b/>
          <w:bCs/>
        </w:rPr>
        <w:t>territory</w:t>
      </w:r>
      <w:r w:rsidR="001846E3">
        <w:t xml:space="preserve"> </w:t>
      </w:r>
      <w:r w:rsidR="00A52972">
        <w:t xml:space="preserve">as </w:t>
      </w:r>
      <w:r w:rsidR="008E3CF5">
        <w:t xml:space="preserve">global bond </w:t>
      </w:r>
      <w:r w:rsidR="00C175CC">
        <w:t>pr</w:t>
      </w:r>
      <w:r w:rsidR="002710BC">
        <w:t>ice</w:t>
      </w:r>
      <w:r w:rsidR="00A52972">
        <w:t xml:space="preserve">s </w:t>
      </w:r>
      <w:r w:rsidR="00680BB2">
        <w:t xml:space="preserve">pushed </w:t>
      </w:r>
      <w:r w:rsidR="00072B77">
        <w:t>lower</w:t>
      </w:r>
      <w:r w:rsidR="002710BC">
        <w:t xml:space="preserve"> (</w:t>
      </w:r>
      <w:r w:rsidR="00072B77">
        <w:t xml:space="preserve">up </w:t>
      </w:r>
      <w:r w:rsidR="003C26EF">
        <w:t xml:space="preserve">in </w:t>
      </w:r>
      <w:r w:rsidR="002710BC">
        <w:t xml:space="preserve">yield) </w:t>
      </w:r>
      <w:r w:rsidR="00446119">
        <w:t xml:space="preserve">following on the trend established last month when </w:t>
      </w:r>
      <w:r w:rsidR="009C7E09">
        <w:t>C</w:t>
      </w:r>
      <w:r w:rsidR="00A52972">
        <w:t xml:space="preserve">entral </w:t>
      </w:r>
      <w:r w:rsidR="009C7E09">
        <w:t>B</w:t>
      </w:r>
      <w:r w:rsidR="00A52972">
        <w:t>ank</w:t>
      </w:r>
      <w:r w:rsidR="00ED2653">
        <w:t xml:space="preserve">s </w:t>
      </w:r>
      <w:r w:rsidR="00343D9A">
        <w:t>began to ease their target cash rates</w:t>
      </w:r>
      <w:r w:rsidR="00B743B6">
        <w:t>.</w:t>
      </w:r>
      <w:r w:rsidR="00343D9A">
        <w:t xml:space="preserve"> </w:t>
      </w:r>
      <w:r w:rsidR="002E3192">
        <w:t>N</w:t>
      </w:r>
      <w:r w:rsidR="00343D9A">
        <w:t xml:space="preserve">ot all economies are experiencing inflation falls and remain focussed on the </w:t>
      </w:r>
      <w:r w:rsidR="00C02439">
        <w:t>longer-term</w:t>
      </w:r>
      <w:r w:rsidR="006820B4">
        <w:t xml:space="preserve"> </w:t>
      </w:r>
      <w:r w:rsidR="00C02439">
        <w:t xml:space="preserve">for </w:t>
      </w:r>
      <w:r w:rsidR="00343D9A">
        <w:t xml:space="preserve">both inflation and </w:t>
      </w:r>
      <w:r w:rsidR="00C02439">
        <w:t xml:space="preserve">cash rates to come down. </w:t>
      </w:r>
      <w:r w:rsidR="002E3192">
        <w:t xml:space="preserve">Australian </w:t>
      </w:r>
      <w:r w:rsidR="00A02F18">
        <w:t>bonds have been</w:t>
      </w:r>
      <w:r w:rsidR="00CE0DD6">
        <w:t xml:space="preserve"> </w:t>
      </w:r>
      <w:r w:rsidR="002E3192">
        <w:t xml:space="preserve">caught up in the </w:t>
      </w:r>
      <w:r w:rsidR="00B743B6">
        <w:t xml:space="preserve">post US election </w:t>
      </w:r>
      <w:r w:rsidR="002E3192">
        <w:t xml:space="preserve">sell-off </w:t>
      </w:r>
      <w:r w:rsidR="00B743B6">
        <w:t xml:space="preserve">however, the market settled and the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B743B6" w:rsidRPr="00B743B6">
        <w:rPr>
          <w:b/>
          <w:bCs/>
        </w:rPr>
        <w:t>3.9</w:t>
      </w:r>
      <w:r w:rsidR="00072B77">
        <w:rPr>
          <w:b/>
          <w:bCs/>
        </w:rPr>
        <w:t>6</w:t>
      </w:r>
      <w:r w:rsidR="0020369D" w:rsidRPr="00B743B6">
        <w:rPr>
          <w:b/>
          <w:bCs/>
        </w:rPr>
        <w:t xml:space="preserve">% </w:t>
      </w:r>
      <w:r w:rsidR="00C23855">
        <w:t xml:space="preserve">on the </w:t>
      </w:r>
      <w:r w:rsidR="00072B77">
        <w:t>17</w:t>
      </w:r>
      <w:r w:rsidR="00072B77" w:rsidRPr="00072B77">
        <w:rPr>
          <w:vertAlign w:val="superscript"/>
        </w:rPr>
        <w:t>th of</w:t>
      </w:r>
      <w:r w:rsidR="00072B77">
        <w:t xml:space="preserve"> January</w:t>
      </w:r>
      <w:r w:rsidR="00C23855">
        <w:t xml:space="preserve"> 202</w:t>
      </w:r>
      <w:r w:rsidR="00072B77">
        <w:t>5</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CE0DD6">
        <w:rPr>
          <w:b/>
          <w:bCs/>
        </w:rPr>
        <w:t>4</w:t>
      </w:r>
      <w:r w:rsidR="00B743B6">
        <w:rPr>
          <w:b/>
          <w:bCs/>
        </w:rPr>
        <w:t>.</w:t>
      </w:r>
      <w:r w:rsidR="00072B77">
        <w:rPr>
          <w:b/>
          <w:bCs/>
        </w:rPr>
        <w:t>528</w:t>
      </w:r>
      <w:r w:rsidR="00526D92" w:rsidRPr="008229BA">
        <w:rPr>
          <w:b/>
          <w:bCs/>
        </w:rPr>
        <w:t>%</w:t>
      </w:r>
      <w:r w:rsidR="00867FD2" w:rsidRPr="008229BA">
        <w:rPr>
          <w:b/>
          <w:bCs/>
        </w:rPr>
        <w:t>.</w:t>
      </w:r>
      <w:r w:rsidR="00712A94">
        <w:t xml:space="preserve"> </w:t>
      </w:r>
    </w:p>
    <w:p w14:paraId="3C549984" w14:textId="3AFEFDAC" w:rsidR="00894706" w:rsidRDefault="00ED23CC" w:rsidP="009E7EF6">
      <w:pPr>
        <w:spacing w:before="120" w:after="120"/>
      </w:pPr>
      <w:r>
        <w:t xml:space="preserve">Global Bonds </w:t>
      </w:r>
      <w:r w:rsidR="00C51753">
        <w:t xml:space="preserve">ended </w:t>
      </w:r>
      <w:r w:rsidR="004A6010">
        <w:t>higher</w:t>
      </w:r>
      <w:r w:rsidR="00BE2C9A">
        <w:t xml:space="preserve"> </w:t>
      </w:r>
      <w:r>
        <w:t>(</w:t>
      </w:r>
      <w:r w:rsidR="004A6010">
        <w:t>+0.26</w:t>
      </w:r>
      <w:r w:rsidR="00867FD2">
        <w:t>%</w:t>
      </w:r>
      <w:r>
        <w:t>) and Australia</w:t>
      </w:r>
      <w:r w:rsidR="00037BFE">
        <w:t>n Bonds</w:t>
      </w:r>
      <w:r>
        <w:t xml:space="preserve"> end</w:t>
      </w:r>
      <w:r w:rsidR="002720B5">
        <w:t>ed</w:t>
      </w:r>
      <w:r>
        <w:t xml:space="preserve"> </w:t>
      </w:r>
      <w:r w:rsidR="00072B77">
        <w:t>up</w:t>
      </w:r>
      <w:r w:rsidR="00867FD2">
        <w:t xml:space="preserve"> </w:t>
      </w:r>
      <w:r>
        <w:t>(</w:t>
      </w:r>
      <w:r w:rsidR="00072B77">
        <w:t>+</w:t>
      </w:r>
      <w:r w:rsidR="004A6010">
        <w:t>0.19</w:t>
      </w:r>
      <w:r w:rsidR="00A94C92">
        <w:t>%</w:t>
      </w:r>
      <w:r>
        <w:t>) for the month</w:t>
      </w:r>
      <w:r w:rsidR="00B6686A">
        <w:t xml:space="preserve"> of </w:t>
      </w:r>
      <w:r w:rsidR="004A6010">
        <w:t>January</w:t>
      </w:r>
      <w:r w:rsidR="002F59EA">
        <w:t xml:space="preserve"> </w:t>
      </w:r>
      <w:r w:rsidR="00AA627D">
        <w:t>202</w:t>
      </w:r>
      <w:r w:rsidR="004A6010">
        <w:t>5</w:t>
      </w:r>
      <w:r w:rsidR="0049196F">
        <w:t xml:space="preserve"> </w:t>
      </w:r>
      <w:r w:rsidR="00037BFE">
        <w:t>and</w:t>
      </w:r>
      <w:r w:rsidR="0049196F">
        <w:t xml:space="preserve"> </w:t>
      </w:r>
      <w:r w:rsidR="004A6010">
        <w:t>up</w:t>
      </w:r>
      <w:r w:rsidR="00763854">
        <w:t xml:space="preserve"> </w:t>
      </w:r>
      <w:r w:rsidR="0049196F">
        <w:t>(</w:t>
      </w:r>
      <w:r w:rsidR="004A6010">
        <w:t>+0.45</w:t>
      </w:r>
      <w:r w:rsidR="0058031F">
        <w:t>%</w:t>
      </w:r>
      <w:r w:rsidR="0049196F">
        <w:t>) and</w:t>
      </w:r>
      <w:r w:rsidR="00AB090A">
        <w:t xml:space="preserve"> </w:t>
      </w:r>
      <w:r w:rsidR="0049196F">
        <w:t>(</w:t>
      </w:r>
      <w:r w:rsidR="004A6010">
        <w:t>+1.85</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2B0AE319" w:rsidR="00455665" w:rsidRDefault="000B03C8" w:rsidP="00037046">
      <w:pPr>
        <w:spacing w:before="120" w:after="120"/>
      </w:pPr>
      <w:r>
        <w:t xml:space="preserve">The RBA </w:t>
      </w:r>
      <w:r w:rsidR="001257FA">
        <w:t>cut</w:t>
      </w:r>
      <w:r w:rsidR="00892EB2">
        <w:t xml:space="preserve"> the </w:t>
      </w:r>
      <w:r w:rsidRPr="00B809F2">
        <w:rPr>
          <w:b/>
          <w:bCs/>
          <w:color w:val="C00000"/>
        </w:rPr>
        <w:t xml:space="preserve">target cash rate </w:t>
      </w:r>
      <w:r w:rsidR="001257FA" w:rsidRPr="00B809F2">
        <w:rPr>
          <w:b/>
          <w:bCs/>
          <w:color w:val="C00000"/>
        </w:rPr>
        <w:t>by 25 basis points to</w:t>
      </w:r>
      <w:r w:rsidR="00892EB2" w:rsidRPr="00B809F2">
        <w:rPr>
          <w:b/>
          <w:bCs/>
          <w:color w:val="C00000"/>
        </w:rPr>
        <w:t xml:space="preserve"> </w:t>
      </w:r>
      <w:r w:rsidR="00D72327" w:rsidRPr="00B809F2">
        <w:rPr>
          <w:b/>
          <w:bCs/>
          <w:color w:val="C00000"/>
        </w:rPr>
        <w:t>4.</w:t>
      </w:r>
      <w:r w:rsidR="001257FA" w:rsidRPr="00B809F2">
        <w:rPr>
          <w:b/>
          <w:bCs/>
          <w:color w:val="C00000"/>
        </w:rPr>
        <w:t>10</w:t>
      </w:r>
      <w:r w:rsidRPr="00B809F2">
        <w:rPr>
          <w:b/>
          <w:bCs/>
          <w:color w:val="C00000"/>
        </w:rPr>
        <w:t>%</w:t>
      </w:r>
      <w:r w:rsidRPr="00B809F2">
        <w:rPr>
          <w:color w:val="C00000"/>
        </w:rPr>
        <w:t xml:space="preserve"> </w:t>
      </w:r>
      <w:r w:rsidR="006C7AED">
        <w:t>follow</w:t>
      </w:r>
      <w:r>
        <w:t xml:space="preserve">ing the </w:t>
      </w:r>
      <w:r w:rsidR="00B8507E">
        <w:t>1</w:t>
      </w:r>
      <w:r w:rsidR="001257FA">
        <w:t>8</w:t>
      </w:r>
      <w:r w:rsidR="00A649C7" w:rsidRPr="003E3E67">
        <w:rPr>
          <w:vertAlign w:val="superscript"/>
        </w:rPr>
        <w:t>th of</w:t>
      </w:r>
      <w:r w:rsidR="003E3E67">
        <w:t xml:space="preserve"> </w:t>
      </w:r>
      <w:r w:rsidR="00C27B81">
        <w:t>Febr</w:t>
      </w:r>
      <w:r w:rsidR="001257FA">
        <w:t>uary</w:t>
      </w:r>
      <w:r>
        <w:t xml:space="preserve"> </w:t>
      </w:r>
      <w:r w:rsidR="00781A24">
        <w:t>202</w:t>
      </w:r>
      <w:r w:rsidR="001257FA">
        <w:t>5</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666C4751" w14:textId="77777777" w:rsidR="001257FA" w:rsidRPr="001257FA" w:rsidRDefault="003E3E67" w:rsidP="001257FA">
      <w:pPr>
        <w:spacing w:before="120" w:after="120"/>
        <w:ind w:left="720"/>
        <w:rPr>
          <w:rFonts w:ascii="Calibri" w:hAnsi="Calibri" w:cs="Calibri"/>
          <w:i/>
          <w:iCs/>
          <w:color w:val="222222"/>
          <w:sz w:val="24"/>
          <w:szCs w:val="24"/>
          <w:shd w:val="clear" w:color="auto" w:fill="FFFFFF"/>
        </w:rPr>
      </w:pPr>
      <w:r w:rsidRPr="00BC0D96">
        <w:rPr>
          <w:rFonts w:ascii="Calibri" w:hAnsi="Calibri" w:cs="Calibri"/>
          <w:i/>
          <w:iCs/>
          <w:color w:val="222222"/>
          <w:sz w:val="24"/>
          <w:szCs w:val="24"/>
          <w:shd w:val="clear" w:color="auto" w:fill="FFFFFF"/>
        </w:rPr>
        <w:t>“</w:t>
      </w:r>
      <w:r w:rsidRPr="00806984">
        <w:rPr>
          <w:rFonts w:ascii="Calibri" w:hAnsi="Calibri" w:cs="Calibri"/>
          <w:i/>
          <w:iCs/>
          <w:color w:val="222222"/>
          <w:sz w:val="24"/>
          <w:szCs w:val="24"/>
          <w:shd w:val="clear" w:color="auto" w:fill="FFFFFF"/>
        </w:rPr>
        <w:t>Sustainably returning inflation to target within a reasonable timeframe</w:t>
      </w:r>
      <w:r>
        <w:rPr>
          <w:rFonts w:ascii="Calibri" w:hAnsi="Calibri" w:cs="Calibri"/>
          <w:i/>
          <w:iCs/>
          <w:color w:val="222222"/>
          <w:sz w:val="24"/>
          <w:szCs w:val="24"/>
          <w:shd w:val="clear" w:color="auto" w:fill="FFFFFF"/>
        </w:rPr>
        <w:t xml:space="preserve"> </w:t>
      </w:r>
      <w:r w:rsidRPr="00806984">
        <w:rPr>
          <w:rFonts w:ascii="Calibri" w:hAnsi="Calibri" w:cs="Calibri"/>
          <w:i/>
          <w:iCs/>
          <w:color w:val="222222"/>
          <w:sz w:val="24"/>
          <w:szCs w:val="24"/>
          <w:shd w:val="clear" w:color="auto" w:fill="FFFFFF"/>
        </w:rPr>
        <w:t>remains the Board’s highest priority. This is consistent with the RBA’s mandate for price stability</w:t>
      </w:r>
      <w:r>
        <w:rPr>
          <w:rFonts w:ascii="Calibri" w:hAnsi="Calibri" w:cs="Calibri"/>
          <w:i/>
          <w:iCs/>
          <w:color w:val="222222"/>
          <w:sz w:val="24"/>
          <w:szCs w:val="24"/>
          <w:shd w:val="clear" w:color="auto" w:fill="FFFFFF"/>
        </w:rPr>
        <w:t xml:space="preserve"> </w:t>
      </w:r>
      <w:r w:rsidRPr="00806984">
        <w:rPr>
          <w:rFonts w:ascii="Calibri" w:hAnsi="Calibri" w:cs="Calibri"/>
          <w:i/>
          <w:iCs/>
          <w:color w:val="222222"/>
          <w:sz w:val="24"/>
          <w:szCs w:val="24"/>
          <w:shd w:val="clear" w:color="auto" w:fill="FFFFFF"/>
        </w:rPr>
        <w:t xml:space="preserve">and full employment. </w:t>
      </w:r>
      <w:r w:rsidR="001257FA" w:rsidRPr="001257FA">
        <w:rPr>
          <w:rFonts w:ascii="Calibri" w:hAnsi="Calibri" w:cs="Calibri"/>
          <w:i/>
          <w:iCs/>
          <w:color w:val="222222"/>
          <w:sz w:val="24"/>
          <w:szCs w:val="24"/>
          <w:shd w:val="clear" w:color="auto" w:fill="FFFFFF"/>
        </w:rPr>
        <w:t>The Board’s assessment is that monetary policy has been restrictive and will remain so after this reduction in the cash rate. Some of the upside risks to inflation appear to have eased and there are signs that disinflation might be occurring a little more quickly than earlier expected. There are nevertheless risks on both sides.</w:t>
      </w:r>
    </w:p>
    <w:p w14:paraId="62F8E928" w14:textId="77777777" w:rsidR="001257FA" w:rsidRPr="001257FA" w:rsidRDefault="001257FA" w:rsidP="001257FA">
      <w:pPr>
        <w:spacing w:before="120" w:after="120"/>
        <w:ind w:left="720"/>
        <w:rPr>
          <w:rFonts w:ascii="Calibri" w:hAnsi="Calibri" w:cs="Calibri"/>
          <w:i/>
          <w:iCs/>
          <w:color w:val="222222"/>
          <w:sz w:val="24"/>
          <w:szCs w:val="24"/>
          <w:shd w:val="clear" w:color="auto" w:fill="FFFFFF"/>
        </w:rPr>
      </w:pPr>
    </w:p>
    <w:p w14:paraId="7C39D929" w14:textId="0215919B" w:rsidR="003E3E67" w:rsidRDefault="001257FA" w:rsidP="001257FA">
      <w:pPr>
        <w:spacing w:before="120" w:after="120"/>
        <w:ind w:left="720"/>
      </w:pPr>
      <w:r w:rsidRPr="001257FA">
        <w:rPr>
          <w:rFonts w:ascii="Calibri" w:hAnsi="Calibri" w:cs="Calibri"/>
          <w:i/>
          <w:iCs/>
          <w:color w:val="222222"/>
          <w:sz w:val="24"/>
          <w:szCs w:val="24"/>
          <w:shd w:val="clear" w:color="auto" w:fill="FFFFFF"/>
        </w:rPr>
        <w:t>The forecasts published today suggest that, if monetary policy is eased too much too soon, disinflation could stall, and inflation would settle above the midpoint of the target range. In removing a little of the policy restrictiveness in its decision today, the Board acknowledges that progress has been made but is cautious about the outlook.</w:t>
      </w:r>
    </w:p>
    <w:p w14:paraId="524CE830" w14:textId="5C8C2DF3" w:rsidR="003E3E67" w:rsidRPr="007E048D" w:rsidRDefault="003E3E67" w:rsidP="003E3E67">
      <w:pPr>
        <w:spacing w:after="0" w:line="360" w:lineRule="auto"/>
        <w:ind w:left="720"/>
        <w:rPr>
          <w:rFonts w:ascii="Calibri" w:hAnsi="Calibri" w:cs="Calibri"/>
          <w:i/>
          <w:iCs/>
          <w:color w:val="222222"/>
          <w:shd w:val="clear" w:color="auto" w:fill="FFFFFF"/>
        </w:rPr>
      </w:pPr>
      <w:r w:rsidRPr="007E048D">
        <w:rPr>
          <w:rFonts w:ascii="Calibri" w:hAnsi="Calibri" w:cs="Calibri"/>
          <w:i/>
          <w:iCs/>
          <w:color w:val="222222"/>
          <w:shd w:val="clear" w:color="auto" w:fill="FFFFFF"/>
        </w:rPr>
        <w:t xml:space="preserve">Michelle Bullock, Governor, RBA Monetary Policy Board meeting, </w:t>
      </w:r>
      <w:r w:rsidR="00B8507E">
        <w:rPr>
          <w:rFonts w:ascii="Calibri" w:hAnsi="Calibri" w:cs="Calibri"/>
          <w:i/>
          <w:iCs/>
          <w:color w:val="222222"/>
          <w:shd w:val="clear" w:color="auto" w:fill="FFFFFF"/>
        </w:rPr>
        <w:t>1</w:t>
      </w:r>
      <w:r w:rsidR="001257FA">
        <w:rPr>
          <w:rFonts w:ascii="Calibri" w:hAnsi="Calibri" w:cs="Calibri"/>
          <w:i/>
          <w:iCs/>
          <w:color w:val="222222"/>
          <w:shd w:val="clear" w:color="auto" w:fill="FFFFFF"/>
        </w:rPr>
        <w:t>8</w:t>
      </w:r>
      <w:r w:rsidRPr="0054063A">
        <w:rPr>
          <w:rFonts w:ascii="Calibri" w:hAnsi="Calibri" w:cs="Calibri"/>
          <w:i/>
          <w:iCs/>
          <w:color w:val="222222"/>
          <w:shd w:val="clear" w:color="auto" w:fill="FFFFFF"/>
          <w:vertAlign w:val="superscript"/>
        </w:rPr>
        <w:t>th</w:t>
      </w:r>
      <w:r>
        <w:rPr>
          <w:rFonts w:ascii="Calibri" w:hAnsi="Calibri" w:cs="Calibri"/>
          <w:i/>
          <w:iCs/>
          <w:color w:val="222222"/>
          <w:shd w:val="clear" w:color="auto" w:fill="FFFFFF"/>
        </w:rPr>
        <w:t xml:space="preserve"> </w:t>
      </w:r>
      <w:r w:rsidR="001257FA">
        <w:rPr>
          <w:rFonts w:ascii="Calibri" w:hAnsi="Calibri" w:cs="Calibri"/>
          <w:i/>
          <w:iCs/>
          <w:color w:val="222222"/>
          <w:shd w:val="clear" w:color="auto" w:fill="FFFFFF"/>
        </w:rPr>
        <w:t>February</w:t>
      </w:r>
      <w:r w:rsidRPr="007E048D">
        <w:rPr>
          <w:rFonts w:ascii="Calibri" w:hAnsi="Calibri" w:cs="Calibri"/>
          <w:i/>
          <w:iCs/>
          <w:color w:val="222222"/>
          <w:shd w:val="clear" w:color="auto" w:fill="FFFFFF"/>
        </w:rPr>
        <w:t xml:space="preserve"> 202</w:t>
      </w:r>
      <w:r w:rsidR="001257FA">
        <w:rPr>
          <w:rFonts w:ascii="Calibri" w:hAnsi="Calibri" w:cs="Calibri"/>
          <w:i/>
          <w:iCs/>
          <w:color w:val="222222"/>
          <w:shd w:val="clear" w:color="auto" w:fill="FFFFFF"/>
        </w:rPr>
        <w:t>5</w:t>
      </w:r>
      <w:r w:rsidRPr="007E048D">
        <w:rPr>
          <w:rFonts w:ascii="Calibri" w:hAnsi="Calibri" w:cs="Calibri"/>
          <w:i/>
          <w:iCs/>
          <w:color w:val="222222"/>
          <w:shd w:val="clear" w:color="auto" w:fill="FFFFFF"/>
        </w:rPr>
        <w:t>.</w:t>
      </w:r>
    </w:p>
    <w:p w14:paraId="593CB94C" w14:textId="66E5F149" w:rsidR="007A5EA0" w:rsidRDefault="007A5EA0" w:rsidP="00354CB7">
      <w:pPr>
        <w:spacing w:before="120" w:after="120"/>
      </w:pPr>
      <w:r w:rsidRPr="007A5EA0">
        <w:t>The US 10-year Government bonds closed at (</w:t>
      </w:r>
      <w:r w:rsidR="00D70708" w:rsidRPr="00107D5C">
        <w:rPr>
          <w:b/>
          <w:bCs/>
        </w:rPr>
        <w:t>4.</w:t>
      </w:r>
      <w:r w:rsidR="00072B77">
        <w:rPr>
          <w:b/>
          <w:bCs/>
        </w:rPr>
        <w:t>5</w:t>
      </w:r>
      <w:r w:rsidR="004A6010">
        <w:rPr>
          <w:b/>
          <w:bCs/>
        </w:rPr>
        <w:t>4</w:t>
      </w:r>
      <w:r w:rsidR="00072B77">
        <w:rPr>
          <w:b/>
          <w:bCs/>
        </w:rPr>
        <w:t>2</w:t>
      </w:r>
      <w:r w:rsidRPr="00107D5C">
        <w:rPr>
          <w:b/>
          <w:bCs/>
        </w:rPr>
        <w:t>%</w:t>
      </w:r>
      <w:r w:rsidRPr="007A5EA0">
        <w:t xml:space="preserve">) for the </w:t>
      </w:r>
      <w:r w:rsidR="00C175CC">
        <w:t>month</w:t>
      </w:r>
      <w:r w:rsidRPr="007A5EA0">
        <w:t xml:space="preserve"> </w:t>
      </w:r>
      <w:r w:rsidR="004A6010">
        <w:t>down</w:t>
      </w:r>
      <w:r w:rsidRPr="007A5EA0">
        <w:t xml:space="preserve"> in yield (</w:t>
      </w:r>
      <w:r w:rsidR="00A439D5">
        <w:t>+</w:t>
      </w:r>
      <w:r w:rsidR="00DB63F1">
        <w:t>0.</w:t>
      </w:r>
      <w:r w:rsidR="004A6010">
        <w:t>03</w:t>
      </w:r>
      <w:r w:rsidRPr="007A5EA0">
        <w:t xml:space="preserve">%) from the previous </w:t>
      </w:r>
      <w:r>
        <w:t>month</w:t>
      </w:r>
      <w:r w:rsidRPr="007A5EA0">
        <w:t xml:space="preserve"> close of </w:t>
      </w:r>
      <w:r w:rsidR="002F043F">
        <w:t>(</w:t>
      </w:r>
      <w:r w:rsidR="00DB63F1">
        <w:t>4.</w:t>
      </w:r>
      <w:r w:rsidR="004A6010">
        <w:t>572</w:t>
      </w:r>
      <w:r w:rsidRPr="007A5EA0">
        <w:t xml:space="preserve">%). </w:t>
      </w:r>
    </w:p>
    <w:p w14:paraId="7B169699" w14:textId="727CFFA0" w:rsidR="007A5EA0" w:rsidRPr="00D341D7" w:rsidRDefault="007A5EA0" w:rsidP="007A5EA0">
      <w:pPr>
        <w:spacing w:before="120" w:after="120" w:line="240" w:lineRule="auto"/>
      </w:pPr>
      <w:r w:rsidRPr="00D341D7">
        <w:t xml:space="preserve">The Australian Government 10-year bonds finished </w:t>
      </w:r>
      <w:r w:rsidR="00072B77">
        <w:t>lower</w:t>
      </w:r>
      <w:r w:rsidRPr="00D341D7">
        <w:t xml:space="preserve"> in yield in</w:t>
      </w:r>
      <w:r w:rsidR="00767F50">
        <w:t xml:space="preserve"> </w:t>
      </w:r>
      <w:r w:rsidR="004A6010">
        <w:t>January</w:t>
      </w:r>
      <w:r w:rsidRPr="00D341D7">
        <w:t xml:space="preserve"> 202</w:t>
      </w:r>
      <w:r w:rsidR="004A6010">
        <w:t>5</w:t>
      </w:r>
      <w:r w:rsidRPr="00D341D7">
        <w:t xml:space="preserve"> at (</w:t>
      </w:r>
      <w:r w:rsidR="00D70708" w:rsidRPr="00107D5C">
        <w:rPr>
          <w:b/>
          <w:bCs/>
        </w:rPr>
        <w:t>4.</w:t>
      </w:r>
      <w:r w:rsidR="00DB63F1" w:rsidRPr="00107D5C">
        <w:rPr>
          <w:b/>
          <w:bCs/>
        </w:rPr>
        <w:t>3</w:t>
      </w:r>
      <w:r w:rsidR="00072B77">
        <w:rPr>
          <w:b/>
          <w:bCs/>
        </w:rPr>
        <w:t>6</w:t>
      </w:r>
      <w:r w:rsidR="004A6010">
        <w:rPr>
          <w:b/>
          <w:bCs/>
        </w:rPr>
        <w:t>3</w:t>
      </w:r>
      <w:r w:rsidRPr="00107D5C">
        <w:rPr>
          <w:b/>
          <w:bCs/>
        </w:rPr>
        <w:t>%</w:t>
      </w:r>
      <w:r w:rsidRPr="00D341D7">
        <w:t xml:space="preserve">) </w:t>
      </w:r>
      <w:r w:rsidR="00DB63F1">
        <w:t>down</w:t>
      </w:r>
      <w:r w:rsidR="00702885">
        <w:t xml:space="preserve"> </w:t>
      </w:r>
      <w:r w:rsidR="00C175CC">
        <w:t xml:space="preserve">in yield </w:t>
      </w:r>
      <w:r w:rsidRPr="00D341D7">
        <w:t>(</w:t>
      </w:r>
      <w:r w:rsidR="00DB63F1">
        <w:t>-0.</w:t>
      </w:r>
      <w:r w:rsidR="00D0466A">
        <w:t>064</w:t>
      </w:r>
      <w:r w:rsidR="00D70708">
        <w:t>%</w:t>
      </w:r>
      <w:r w:rsidRPr="00D341D7">
        <w:t>) from (</w:t>
      </w:r>
      <w:r w:rsidR="00DB63F1">
        <w:t>4.</w:t>
      </w:r>
      <w:r w:rsidR="00072B77">
        <w:t>3</w:t>
      </w:r>
      <w:r w:rsidR="004A6010">
        <w:t>67</w:t>
      </w:r>
      <w:r w:rsidRPr="00D341D7">
        <w:t xml:space="preserve">%) in </w:t>
      </w:r>
      <w:r w:rsidR="00072B77">
        <w:t>Novem</w:t>
      </w:r>
      <w:r w:rsidR="00D70708">
        <w:t>ber</w:t>
      </w:r>
      <w:r w:rsidRPr="00D341D7">
        <w:t xml:space="preserve"> 202</w:t>
      </w:r>
      <w:r w:rsidR="00BE2C9A">
        <w:t>4</w:t>
      </w:r>
      <w:r w:rsidRPr="00D341D7">
        <w:t xml:space="preserve">. </w:t>
      </w:r>
    </w:p>
    <w:p w14:paraId="2FF27718" w14:textId="2DE9686D" w:rsidR="009E7EF6" w:rsidRDefault="0050466F" w:rsidP="009E7EF6">
      <w:pPr>
        <w:spacing w:before="120" w:after="120"/>
        <w:jc w:val="center"/>
      </w:pPr>
      <w:r w:rsidRPr="0050466F">
        <w:rPr>
          <w:noProof/>
        </w:rPr>
        <w:drawing>
          <wp:inline distT="0" distB="0" distL="0" distR="0" wp14:anchorId="5450381A" wp14:editId="5338322A">
            <wp:extent cx="4358640" cy="1639570"/>
            <wp:effectExtent l="0" t="0" r="3810" b="0"/>
            <wp:docPr id="3961473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8640" cy="1639570"/>
                    </a:xfrm>
                    <a:prstGeom prst="rect">
                      <a:avLst/>
                    </a:prstGeom>
                    <a:noFill/>
                    <a:ln>
                      <a:noFill/>
                    </a:ln>
                  </pic:spPr>
                </pic:pic>
              </a:graphicData>
            </a:graphic>
          </wp:inline>
        </w:drawing>
      </w:r>
    </w:p>
    <w:p w14:paraId="03CFA4CC" w14:textId="08A46FCC" w:rsidR="009E7EF6"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092751">
        <w:rPr>
          <w:sz w:val="18"/>
        </w:rPr>
        <w:t>3</w:t>
      </w:r>
      <w:r w:rsidR="00A439D5">
        <w:rPr>
          <w:sz w:val="18"/>
        </w:rPr>
        <w:t>1</w:t>
      </w:r>
      <w:r w:rsidR="00A439D5" w:rsidRPr="00A439D5">
        <w:rPr>
          <w:sz w:val="18"/>
          <w:vertAlign w:val="superscript"/>
        </w:rPr>
        <w:t>st</w:t>
      </w:r>
      <w:r w:rsidR="00A439D5">
        <w:rPr>
          <w:sz w:val="18"/>
        </w:rPr>
        <w:t xml:space="preserve"> </w:t>
      </w:r>
      <w:r w:rsidR="0050466F">
        <w:rPr>
          <w:sz w:val="18"/>
        </w:rPr>
        <w:t>January</w:t>
      </w:r>
      <w:r w:rsidR="009B1992">
        <w:rPr>
          <w:sz w:val="18"/>
        </w:rPr>
        <w:t xml:space="preserve"> </w:t>
      </w:r>
      <w:r w:rsidR="00AA627D">
        <w:rPr>
          <w:sz w:val="18"/>
        </w:rPr>
        <w:t>202</w:t>
      </w:r>
      <w:r w:rsidR="0050466F">
        <w:rPr>
          <w:sz w:val="18"/>
        </w:rPr>
        <w:t>5</w:t>
      </w:r>
    </w:p>
    <w:p w14:paraId="16FB30A8" w14:textId="77777777" w:rsidR="00670F31" w:rsidRDefault="00670F31" w:rsidP="009E7EF6">
      <w:pPr>
        <w:jc w:val="center"/>
        <w:rPr>
          <w:sz w:val="18"/>
        </w:rPr>
      </w:pP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7BE3227D" w:rsidR="009E7EF6" w:rsidRDefault="009E7EF6" w:rsidP="00A70A09">
      <w:pPr>
        <w:spacing w:before="0" w:after="0"/>
      </w:pPr>
      <w:r>
        <w:t xml:space="preserve">The </w:t>
      </w:r>
      <w:r w:rsidR="00590B4A">
        <w:t>$</w:t>
      </w:r>
      <w:r>
        <w:t xml:space="preserve">A closed </w:t>
      </w:r>
      <w:r w:rsidR="00D0466A">
        <w:t>stronger</w:t>
      </w:r>
      <w:r w:rsidR="009B1992">
        <w:t xml:space="preserve"> </w:t>
      </w:r>
      <w:r w:rsidR="00590B4A">
        <w:t xml:space="preserve">AUD/USD </w:t>
      </w:r>
      <w:r>
        <w:t>0.</w:t>
      </w:r>
      <w:r w:rsidR="003638C4">
        <w:t>6</w:t>
      </w:r>
      <w:r w:rsidR="002B4F5F">
        <w:t>2</w:t>
      </w:r>
      <w:r w:rsidR="00D0466A">
        <w:t>25</w:t>
      </w:r>
      <w:r>
        <w:t xml:space="preserve"> at the end of </w:t>
      </w:r>
      <w:r w:rsidR="00D0466A">
        <w:t>January</w:t>
      </w:r>
      <w:r w:rsidR="00AA627D">
        <w:t xml:space="preserve"> 202</w:t>
      </w:r>
      <w:r w:rsidR="00D0466A">
        <w:t>5</w:t>
      </w:r>
      <w:r>
        <w:t xml:space="preserve"> which </w:t>
      </w:r>
      <w:r w:rsidR="00811CBE">
        <w:t xml:space="preserve">was a </w:t>
      </w:r>
      <w:r w:rsidR="00D0466A">
        <w:t>nega</w:t>
      </w:r>
      <w:r w:rsidR="00D70708">
        <w:t>tive</w:t>
      </w:r>
      <w:r w:rsidR="00811CBE">
        <w:t xml:space="preserve"> for </w:t>
      </w:r>
      <w:r w:rsidR="00A72332">
        <w:t>returns for</w:t>
      </w:r>
      <w:r>
        <w:t xml:space="preserve"> investors who held offshore assets unhedged (</w:t>
      </w:r>
      <w:r w:rsidR="00D0466A">
        <w:t>-0.13</w:t>
      </w:r>
      <w:r>
        <w:t xml:space="preserve">%) over the </w:t>
      </w:r>
      <w:r w:rsidR="00CE6ADD">
        <w:t xml:space="preserve">month </w:t>
      </w:r>
      <w:r w:rsidR="00DE0182">
        <w:t>and</w:t>
      </w:r>
      <w:r w:rsidR="00CA7193">
        <w:t xml:space="preserve"> </w:t>
      </w:r>
      <w:r w:rsidR="00CE6ADD">
        <w:t>(</w:t>
      </w:r>
      <w:r w:rsidR="00107D5C">
        <w:t>+</w:t>
      </w:r>
      <w:r w:rsidR="00B608AB">
        <w:t>5.24</w:t>
      </w:r>
      <w:r w:rsidR="00CE6ADD">
        <w:t>%</w:t>
      </w:r>
      <w:r w:rsidR="0088021D">
        <w:t>)</w:t>
      </w:r>
      <w:r w:rsidR="00CE6ADD">
        <w:t xml:space="preserve"> </w:t>
      </w:r>
      <w:r w:rsidR="0088021D">
        <w:t xml:space="preserve">over the </w:t>
      </w:r>
      <w:r>
        <w:t>last three months.</w:t>
      </w:r>
    </w:p>
    <w:p w14:paraId="61BE8DE3" w14:textId="01EF845D" w:rsidR="004D2D2C" w:rsidRDefault="000F6842" w:rsidP="004D2D2C">
      <w:pPr>
        <w:jc w:val="center"/>
      </w:pPr>
      <w:r>
        <w:rPr>
          <w:noProof/>
        </w:rPr>
        <w:lastRenderedPageBreak/>
        <mc:AlternateContent>
          <mc:Choice Requires="wps">
            <w:drawing>
              <wp:anchor distT="45720" distB="45720" distL="114300" distR="114300" simplePos="0" relativeHeight="251659264" behindDoc="0" locked="0" layoutInCell="1" allowOverlap="1" wp14:anchorId="7430CB9B" wp14:editId="230D5D98">
                <wp:simplePos x="0" y="0"/>
                <wp:positionH relativeFrom="column">
                  <wp:posOffset>3431540</wp:posOffset>
                </wp:positionH>
                <wp:positionV relativeFrom="paragraph">
                  <wp:posOffset>238125</wp:posOffset>
                </wp:positionV>
                <wp:extent cx="2237105" cy="1986915"/>
                <wp:effectExtent l="0" t="0" r="10795" b="13335"/>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98691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06B05BDF" w14:textId="77777777" w:rsidR="009B70AF" w:rsidRDefault="00D63481" w:rsidP="00D63481">
                            <w:pPr>
                              <w:spacing w:before="0"/>
                            </w:pPr>
                            <w:r w:rsidRPr="008F12F3">
                              <w:t>Currency forecasters see the AUD/USD range between</w:t>
                            </w:r>
                            <w:r w:rsidR="009B70AF">
                              <w:t>:</w:t>
                            </w:r>
                          </w:p>
                          <w:p w14:paraId="1A5A1DBC" w14:textId="206D1FFD" w:rsidR="009B70AF" w:rsidRDefault="00D63481" w:rsidP="00D63481">
                            <w:pPr>
                              <w:spacing w:before="0"/>
                            </w:pPr>
                            <w:r w:rsidRPr="00D63481">
                              <w:rPr>
                                <w:b/>
                                <w:bCs/>
                              </w:rPr>
                              <w:t>0.6</w:t>
                            </w:r>
                            <w:r w:rsidR="00770BDF">
                              <w:rPr>
                                <w:b/>
                                <w:bCs/>
                              </w:rPr>
                              <w:t>0</w:t>
                            </w:r>
                            <w:r w:rsidRPr="00D63481">
                              <w:rPr>
                                <w:b/>
                                <w:bCs/>
                              </w:rPr>
                              <w:t>50 and 0.7</w:t>
                            </w:r>
                            <w:r w:rsidR="00770BDF">
                              <w:rPr>
                                <w:b/>
                                <w:bCs/>
                              </w:rPr>
                              <w:t>0</w:t>
                            </w:r>
                            <w:r w:rsidRPr="00D63481">
                              <w:rPr>
                                <w:b/>
                                <w:bCs/>
                              </w:rPr>
                              <w:t>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0CB9B" id="_x0000_t202" coordsize="21600,21600" o:spt="202" path="m,l,21600r21600,l21600,xe">
                <v:stroke joinstyle="miter"/>
                <v:path gradientshapeok="t" o:connecttype="rect"/>
              </v:shapetype>
              <v:shape id="Text Box 2" o:spid="_x0000_s1026" type="#_x0000_t202" style="position:absolute;left:0;text-align:left;margin-left:270.2pt;margin-top:18.75pt;width:176.15pt;height:15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" fillcolor="white [3201]" strokecolor="#414042 [3200]" strokeweight="1pt">
                <v:textbox>
                  <w:txbxContent>
                    <w:p w14:paraId="06B05BDF" w14:textId="77777777" w:rsidR="009B70AF" w:rsidRDefault="00D63481" w:rsidP="00D63481">
                      <w:pPr>
                        <w:spacing w:before="0"/>
                      </w:pPr>
                      <w:r w:rsidRPr="008F12F3">
                        <w:t>Currency forecasters see the AUD/USD range between</w:t>
                      </w:r>
                      <w:r w:rsidR="009B70AF">
                        <w:t>:</w:t>
                      </w:r>
                    </w:p>
                    <w:p w14:paraId="1A5A1DBC" w14:textId="206D1FFD" w:rsidR="009B70AF" w:rsidRDefault="00D63481" w:rsidP="00D63481">
                      <w:pPr>
                        <w:spacing w:before="0"/>
                      </w:pPr>
                      <w:r w:rsidRPr="00D63481">
                        <w:rPr>
                          <w:b/>
                          <w:bCs/>
                        </w:rPr>
                        <w:t>0.6</w:t>
                      </w:r>
                      <w:r w:rsidR="00770BDF">
                        <w:rPr>
                          <w:b/>
                          <w:bCs/>
                        </w:rPr>
                        <w:t>0</w:t>
                      </w:r>
                      <w:r w:rsidRPr="00D63481">
                        <w:rPr>
                          <w:b/>
                          <w:bCs/>
                        </w:rPr>
                        <w:t>50 and 0.7</w:t>
                      </w:r>
                      <w:r w:rsidR="00770BDF">
                        <w:rPr>
                          <w:b/>
                          <w:bCs/>
                        </w:rPr>
                        <w:t>0</w:t>
                      </w:r>
                      <w:r w:rsidRPr="00D63481">
                        <w:rPr>
                          <w:b/>
                          <w:bCs/>
                        </w:rPr>
                        <w:t>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v:textbox>
                <w10:wrap type="square"/>
              </v:shape>
            </w:pict>
          </mc:Fallback>
        </mc:AlternateContent>
      </w:r>
      <w:r w:rsidR="00A954C5" w:rsidRPr="00A954C5">
        <w:t xml:space="preserve"> </w:t>
      </w:r>
      <w:r w:rsidR="00770BDF" w:rsidRPr="00770BDF">
        <w:rPr>
          <w:noProof/>
        </w:rPr>
        <w:drawing>
          <wp:inline distT="0" distB="0" distL="0" distR="0" wp14:anchorId="0AE456FD" wp14:editId="7A451714">
            <wp:extent cx="3282807" cy="2643447"/>
            <wp:effectExtent l="0" t="0" r="0" b="5080"/>
            <wp:docPr id="13225388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9600" cy="2648917"/>
                    </a:xfrm>
                    <a:prstGeom prst="rect">
                      <a:avLst/>
                    </a:prstGeom>
                    <a:noFill/>
                    <a:ln>
                      <a:noFill/>
                    </a:ln>
                  </pic:spPr>
                </pic:pic>
              </a:graphicData>
            </a:graphic>
          </wp:inline>
        </w:drawing>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22CC0B42" w:rsidR="009E7EF6" w:rsidRDefault="00E83078" w:rsidP="00A70A09">
      <w:pPr>
        <w:spacing w:before="0" w:after="240"/>
      </w:pPr>
      <w:r w:rsidRPr="00E83078">
        <w:t>Australia’s latest GDP data for the</w:t>
      </w:r>
      <w:r w:rsidR="00CF265D">
        <w:t xml:space="preserve"> </w:t>
      </w:r>
      <w:r w:rsidR="00642BAE">
        <w:t>third</w:t>
      </w:r>
      <w:r w:rsidRPr="00E83078">
        <w:t xml:space="preserve"> quarter of 202</w:t>
      </w:r>
      <w:r w:rsidR="0091516C">
        <w:t>4</w:t>
      </w:r>
      <w:r w:rsidRPr="00E83078">
        <w:t xml:space="preserve"> revealed an </w:t>
      </w:r>
      <w:r w:rsidRPr="00E83078">
        <w:rPr>
          <w:b/>
          <w:bCs/>
        </w:rPr>
        <w:t xml:space="preserve">annual growth rate of </w:t>
      </w:r>
      <w:r w:rsidR="00642BAE">
        <w:rPr>
          <w:b/>
          <w:bCs/>
        </w:rPr>
        <w:t>0</w:t>
      </w:r>
      <w:r w:rsidR="001F699A">
        <w:rPr>
          <w:b/>
          <w:bCs/>
        </w:rPr>
        <w:t>.</w:t>
      </w:r>
      <w:r w:rsidR="00642BAE">
        <w:rPr>
          <w:b/>
          <w:bCs/>
        </w:rPr>
        <w:t>8</w:t>
      </w:r>
      <w:r w:rsidRPr="00E83078">
        <w:rPr>
          <w:b/>
          <w:bCs/>
        </w:rPr>
        <w:t>%</w:t>
      </w:r>
      <w:r w:rsidRPr="00E83078">
        <w:t xml:space="preserve"> which was </w:t>
      </w:r>
      <w:r w:rsidR="001F699A">
        <w:t>down</w:t>
      </w:r>
      <w:r w:rsidR="002656F2">
        <w:t xml:space="preserve"> f</w:t>
      </w:r>
      <w:r w:rsidRPr="00E83078">
        <w:t xml:space="preserve">rom </w:t>
      </w:r>
      <w:r w:rsidR="0091516C">
        <w:t>1.</w:t>
      </w:r>
      <w:r w:rsidR="00642BAE">
        <w:t>0</w:t>
      </w:r>
      <w:r w:rsidR="001F699A">
        <w:t xml:space="preserve">0% in the </w:t>
      </w:r>
      <w:r w:rsidR="00642BAE">
        <w:t>second</w:t>
      </w:r>
      <w:r w:rsidR="001F699A">
        <w:t xml:space="preserve"> </w:t>
      </w:r>
      <w:r w:rsidRPr="00E83078">
        <w:t>quarter of 202</w:t>
      </w:r>
      <w:r w:rsidR="00CF265D">
        <w:t>4</w:t>
      </w:r>
      <w:r w:rsidR="002656F2">
        <w:t>.</w:t>
      </w:r>
      <w:r w:rsidRPr="00E83078">
        <w:t xml:space="preserve"> Unemployment </w:t>
      </w:r>
      <w:r w:rsidR="003B014A">
        <w:t>moved higher</w:t>
      </w:r>
      <w:r w:rsidR="009F26B6">
        <w:t xml:space="preserve"> to </w:t>
      </w:r>
      <w:r w:rsidR="003B014A">
        <w:t>4.0</w:t>
      </w:r>
      <w:r w:rsidR="00481C63">
        <w:t xml:space="preserve">% </w:t>
      </w:r>
      <w:r w:rsidRPr="00E83078">
        <w:t xml:space="preserve">in </w:t>
      </w:r>
      <w:r w:rsidR="003B014A">
        <w:t>December</w:t>
      </w:r>
      <w:r w:rsidRPr="00E83078">
        <w:t xml:space="preserve"> 202</w:t>
      </w:r>
      <w:r w:rsidR="0089173A">
        <w:t>4</w:t>
      </w:r>
      <w:r w:rsidR="009F26B6">
        <w:t xml:space="preserve"> </w:t>
      </w:r>
      <w:r w:rsidR="003B014A">
        <w:t>up</w:t>
      </w:r>
      <w:r w:rsidR="00642BAE">
        <w:t xml:space="preserve"> from </w:t>
      </w:r>
      <w:r w:rsidR="003B014A">
        <w:t>3.9</w:t>
      </w:r>
      <w:r w:rsidR="00642BAE">
        <w:t xml:space="preserve">% in </w:t>
      </w:r>
      <w:r w:rsidR="003B014A">
        <w:t>Novem</w:t>
      </w:r>
      <w:r w:rsidR="00642BAE">
        <w:t>ber 2024.</w:t>
      </w:r>
      <w:r w:rsidRPr="00E83078">
        <w:t xml:space="preserve"> The </w:t>
      </w:r>
      <w:r w:rsidR="00642BAE">
        <w:t xml:space="preserve">Y-O-Y </w:t>
      </w:r>
      <w:r w:rsidR="001918FE" w:rsidRPr="007D7864">
        <w:rPr>
          <w:b/>
          <w:bCs/>
        </w:rPr>
        <w:t xml:space="preserve">inflation rate </w:t>
      </w:r>
      <w:r w:rsidR="004916DD">
        <w:rPr>
          <w:b/>
          <w:bCs/>
        </w:rPr>
        <w:t>fell</w:t>
      </w:r>
      <w:r w:rsidR="001918FE" w:rsidRPr="007D7864">
        <w:rPr>
          <w:b/>
          <w:bCs/>
        </w:rPr>
        <w:t xml:space="preserve"> to </w:t>
      </w:r>
      <w:r w:rsidR="004916DD">
        <w:rPr>
          <w:b/>
          <w:bCs/>
        </w:rPr>
        <w:t>2</w:t>
      </w:r>
      <w:r w:rsidR="00A7764C">
        <w:rPr>
          <w:b/>
          <w:bCs/>
        </w:rPr>
        <w:t>.</w:t>
      </w:r>
      <w:r w:rsidR="00F32028">
        <w:rPr>
          <w:b/>
          <w:bCs/>
        </w:rPr>
        <w:t>4</w:t>
      </w:r>
      <w:r w:rsidR="001918FE" w:rsidRPr="007D7864">
        <w:rPr>
          <w:b/>
          <w:bCs/>
        </w:rPr>
        <w:t>%</w:t>
      </w:r>
      <w:r w:rsidR="001918FE">
        <w:t xml:space="preserve"> in the </w:t>
      </w:r>
      <w:r w:rsidR="00F32028">
        <w:t>fourth</w:t>
      </w:r>
      <w:r w:rsidR="001918FE">
        <w:t xml:space="preserve"> quarter of 202</w:t>
      </w:r>
      <w:r w:rsidR="00A7764C">
        <w:t>4</w:t>
      </w:r>
      <w:r w:rsidR="001918FE">
        <w:t xml:space="preserve"> </w:t>
      </w:r>
      <w:r w:rsidR="004916DD">
        <w:t>down</w:t>
      </w:r>
      <w:r w:rsidR="001918FE">
        <w:t xml:space="preserve"> from </w:t>
      </w:r>
      <w:r w:rsidR="00F32028">
        <w:t>2</w:t>
      </w:r>
      <w:r w:rsidR="00301803">
        <w:t>.</w:t>
      </w:r>
      <w:r w:rsidR="004916DD">
        <w:t>8</w:t>
      </w:r>
      <w:r w:rsidR="001918FE">
        <w:t xml:space="preserve">% in the </w:t>
      </w:r>
      <w:r w:rsidR="00F32028">
        <w:t>thir</w:t>
      </w:r>
      <w:r w:rsidR="004916DD">
        <w:t>d</w:t>
      </w:r>
      <w:r w:rsidR="001918FE">
        <w:t xml:space="preserve"> quarter 202</w:t>
      </w:r>
      <w:r w:rsidR="00301803">
        <w:t>4</w:t>
      </w:r>
      <w:r w:rsidR="001918FE">
        <w:t xml:space="preserve">, </w:t>
      </w:r>
      <w:r w:rsidR="009E7EF6">
        <w:t xml:space="preserve">which is </w:t>
      </w:r>
      <w:r w:rsidR="004916DD">
        <w:t>within</w:t>
      </w:r>
      <w:r w:rsidR="00892627">
        <w:t xml:space="preserve"> the </w:t>
      </w:r>
      <w:r w:rsidR="009E7EF6">
        <w:t>Reserve Bank’s targeted 2% to 3% target range.</w:t>
      </w:r>
      <w:r w:rsidR="009E7EF6" w:rsidRPr="00954E33">
        <w:t xml:space="preserve"> </w:t>
      </w:r>
    </w:p>
    <w:p w14:paraId="2527D827" w14:textId="585AAF55" w:rsidR="00147535" w:rsidRDefault="003B014A" w:rsidP="00C96BC6">
      <w:pPr>
        <w:pStyle w:val="Heading2"/>
        <w:jc w:val="center"/>
        <w:rPr>
          <w:b w:val="0"/>
          <w:bCs w:val="0"/>
        </w:rPr>
      </w:pPr>
      <w:r w:rsidRPr="003B014A">
        <w:rPr>
          <w:b w:val="0"/>
          <w:bCs w:val="0"/>
          <w:noProof/>
        </w:rPr>
        <w:drawing>
          <wp:inline distT="0" distB="0" distL="0" distR="0" wp14:anchorId="5A38B1A2" wp14:editId="3C5CA11D">
            <wp:extent cx="2732871" cy="2327117"/>
            <wp:effectExtent l="0" t="0" r="0" b="0"/>
            <wp:docPr id="12484870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8037" cy="2357062"/>
                    </a:xfrm>
                    <a:prstGeom prst="rect">
                      <a:avLst/>
                    </a:prstGeom>
                    <a:noFill/>
                    <a:ln>
                      <a:noFill/>
                    </a:ln>
                  </pic:spPr>
                </pic:pic>
              </a:graphicData>
            </a:graphic>
          </wp:inline>
        </w:drawing>
      </w:r>
      <w:r w:rsidR="00907005" w:rsidRPr="00907005">
        <w:rPr>
          <w:b w:val="0"/>
          <w:bCs w:val="0"/>
        </w:rPr>
        <w:t xml:space="preserve"> </w:t>
      </w:r>
      <w:r w:rsidRPr="003B014A">
        <w:rPr>
          <w:b w:val="0"/>
          <w:bCs w:val="0"/>
          <w:noProof/>
        </w:rPr>
        <w:drawing>
          <wp:inline distT="0" distB="0" distL="0" distR="0" wp14:anchorId="113913F5" wp14:editId="78CD49B2">
            <wp:extent cx="2527069" cy="2332234"/>
            <wp:effectExtent l="0" t="0" r="6985" b="0"/>
            <wp:docPr id="3715168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9596" cy="2334567"/>
                    </a:xfrm>
                    <a:prstGeom prst="rect">
                      <a:avLst/>
                    </a:prstGeom>
                    <a:noFill/>
                    <a:ln>
                      <a:noFill/>
                    </a:ln>
                  </pic:spPr>
                </pic:pic>
              </a:graphicData>
            </a:graphic>
          </wp:inline>
        </w:drawing>
      </w:r>
    </w:p>
    <w:p w14:paraId="49164B88" w14:textId="77777777" w:rsidR="00F33D40" w:rsidRPr="00F33D40" w:rsidRDefault="00F33D40" w:rsidP="00F33D40">
      <w:pPr>
        <w:rPr>
          <w:lang w:val="en-US" w:bidi="en-US"/>
        </w:rPr>
      </w:pP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71597F4A" w:rsidR="00D658F2" w:rsidRPr="001740F6" w:rsidRDefault="00D658F2" w:rsidP="00001F8C">
      <w:r>
        <w:t xml:space="preserve">The overall </w:t>
      </w:r>
      <w:r w:rsidR="002C2046">
        <w:t xml:space="preserve">investment </w:t>
      </w:r>
      <w:r w:rsidR="00242925">
        <w:t>view</w:t>
      </w:r>
      <w:r>
        <w:t xml:space="preserve"> </w:t>
      </w:r>
      <w:r w:rsidR="005A4CB4">
        <w:t xml:space="preserve">for shares </w:t>
      </w:r>
      <w:r>
        <w:t>i</w:t>
      </w:r>
      <w:r w:rsidR="000D2EF0">
        <w:t>n the</w:t>
      </w:r>
      <w:r>
        <w:t xml:space="preserve"> </w:t>
      </w:r>
      <w:r w:rsidR="00211307">
        <w:t xml:space="preserve">short-term </w:t>
      </w:r>
      <w:r w:rsidR="00CF265D">
        <w:t xml:space="preserve">remains </w:t>
      </w:r>
      <w:r w:rsidR="008116BB" w:rsidRPr="00C96BC6">
        <w:rPr>
          <w:b/>
          <w:bCs/>
        </w:rPr>
        <w:t>“</w:t>
      </w:r>
      <w:r w:rsidR="0077020B">
        <w:rPr>
          <w:b/>
          <w:bCs/>
        </w:rPr>
        <w:t>cautiously optimistic</w:t>
      </w:r>
      <w:r w:rsidR="008116BB" w:rsidRPr="00C96BC6">
        <w:rPr>
          <w:b/>
          <w:bCs/>
        </w:rPr>
        <w:t>”</w:t>
      </w:r>
      <w:r w:rsidR="005A4CB4">
        <w:t xml:space="preserve"> </w:t>
      </w:r>
      <w:r w:rsidR="00C96BC6">
        <w:t xml:space="preserve"> </w:t>
      </w:r>
      <w:r w:rsidR="0029438A">
        <w:t>and</w:t>
      </w:r>
      <w:r w:rsidR="00C96BC6">
        <w:t xml:space="preserve">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w:t>
      </w:r>
      <w:r w:rsidR="00C5696F" w:rsidRPr="00F33D40">
        <w:rPr>
          <w:b/>
          <w:bCs/>
        </w:rPr>
        <w:t xml:space="preserve">expected to </w:t>
      </w:r>
      <w:r w:rsidR="001740F6">
        <w:rPr>
          <w:b/>
          <w:bCs/>
        </w:rPr>
        <w:t xml:space="preserve">continue the down trend </w:t>
      </w:r>
      <w:r w:rsidR="001740F6" w:rsidRPr="001740F6">
        <w:t>following today’s easing of Monetary Policy</w:t>
      </w:r>
      <w:r w:rsidR="001740F6">
        <w:t xml:space="preserve"> by the RBA</w:t>
      </w:r>
      <w:r w:rsidR="001740F6" w:rsidRPr="001740F6">
        <w:t>.</w:t>
      </w:r>
    </w:p>
    <w:p w14:paraId="584F1152" w14:textId="2D385198" w:rsidR="0077020B" w:rsidRPr="002214C5" w:rsidRDefault="00854E2E" w:rsidP="00001F8C">
      <w:r>
        <w:t>All eyes are on</w:t>
      </w:r>
      <w:r w:rsidR="0077020B">
        <w:t xml:space="preserve"> </w:t>
      </w:r>
      <w:r w:rsidR="00A21943">
        <w:t xml:space="preserve">when the next </w:t>
      </w:r>
      <w:r w:rsidR="007C266B">
        <w:t xml:space="preserve">Australian </w:t>
      </w:r>
      <w:r w:rsidR="00A21943">
        <w:t xml:space="preserve">Federal election will be called and </w:t>
      </w:r>
      <w:r w:rsidR="0077020B">
        <w:t xml:space="preserve">how the State Governments </w:t>
      </w:r>
      <w:r w:rsidR="00A21943">
        <w:t xml:space="preserve">are going to </w:t>
      </w:r>
      <w:r w:rsidR="002214C5">
        <w:t xml:space="preserve">tackle the growing debt burden </w:t>
      </w:r>
      <w:r w:rsidR="0077020B">
        <w:t xml:space="preserve">and the impact on consumer spending. Needless to say: </w:t>
      </w:r>
      <w:r w:rsidR="0077020B" w:rsidRPr="0077020B">
        <w:rPr>
          <w:b/>
          <w:bCs/>
        </w:rPr>
        <w:t>Higher spending=higher demand=higher prices=higher inflation=higher for longer interest rates.</w:t>
      </w:r>
      <w:r w:rsidR="002214C5">
        <w:rPr>
          <w:b/>
          <w:bCs/>
        </w:rPr>
        <w:t xml:space="preserve"> </w:t>
      </w:r>
      <w:r w:rsidR="002214C5" w:rsidRPr="002214C5">
        <w:t xml:space="preserve">Both State and Federal debt levels are rising and </w:t>
      </w:r>
      <w:r w:rsidR="002214C5">
        <w:t xml:space="preserve">it is unclear how they are </w:t>
      </w:r>
      <w:r w:rsidR="00A21943">
        <w:t xml:space="preserve">going to </w:t>
      </w:r>
      <w:r w:rsidR="002214C5">
        <w:t xml:space="preserve">reign in this spending. </w:t>
      </w:r>
      <w:r w:rsidR="002214C5" w:rsidRPr="00A21943">
        <w:rPr>
          <w:b/>
          <w:bCs/>
        </w:rPr>
        <w:t>Government debt is now 43.8</w:t>
      </w:r>
      <w:r w:rsidR="00A21943" w:rsidRPr="00A21943">
        <w:rPr>
          <w:b/>
          <w:bCs/>
        </w:rPr>
        <w:t>0% of GDP</w:t>
      </w:r>
      <w:r w:rsidR="00A21943">
        <w:t>.</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181A4506" w14:textId="3662EF74" w:rsidR="00A21943" w:rsidRDefault="00FD5867" w:rsidP="00E02932">
      <w:pPr>
        <w:spacing w:before="120" w:after="120"/>
      </w:pPr>
      <w:r>
        <w:t>Global</w:t>
      </w:r>
      <w:r w:rsidR="00F11088">
        <w:t xml:space="preserve"> </w:t>
      </w:r>
      <w:r w:rsidR="0077020B">
        <w:t xml:space="preserve">share </w:t>
      </w:r>
      <w:r w:rsidR="002761ED">
        <w:t xml:space="preserve">market </w:t>
      </w:r>
      <w:r w:rsidR="001451A8">
        <w:t xml:space="preserve">returns </w:t>
      </w:r>
      <w:r w:rsidR="00A21943">
        <w:t xml:space="preserve">are supported by the strength of the US economy and the pace of </w:t>
      </w:r>
      <w:r w:rsidR="00242925">
        <w:t>Central Bank easing</w:t>
      </w:r>
      <w:r w:rsidR="00A21943">
        <w:t xml:space="preserve">. </w:t>
      </w:r>
      <w:r w:rsidR="00A85EE1">
        <w:t>The US b</w:t>
      </w:r>
      <w:r w:rsidR="00242925">
        <w:t xml:space="preserve">ond price sell-off </w:t>
      </w:r>
      <w:r w:rsidR="00D35437">
        <w:t xml:space="preserve">which peaked mid-September 2024 at   around 3.62%is trying to consolidate at the higher level of around 4.5%-4.75%. This has made bond investors cautious about the future trend of bond prices given the change of urgency by the Fed on easing interest rates. </w:t>
      </w:r>
      <w:r w:rsidR="00A21943">
        <w:t xml:space="preserve">The </w:t>
      </w:r>
      <w:r w:rsidR="00D8605F">
        <w:t xml:space="preserve">unemployment data  </w:t>
      </w:r>
      <w:r w:rsidR="00D35437">
        <w:t xml:space="preserve">dipped to </w:t>
      </w:r>
      <w:r w:rsidR="00144655">
        <w:t>4.</w:t>
      </w:r>
      <w:r w:rsidR="00D35437">
        <w:t>0</w:t>
      </w:r>
      <w:r w:rsidR="00144655">
        <w:t xml:space="preserve">% </w:t>
      </w:r>
      <w:r w:rsidR="00D35437">
        <w:t xml:space="preserve">in February 2025 </w:t>
      </w:r>
      <w:r w:rsidR="007C266B">
        <w:t>down</w:t>
      </w:r>
      <w:r w:rsidR="00144655">
        <w:t xml:space="preserve"> from 4.</w:t>
      </w:r>
      <w:r w:rsidR="00D35437">
        <w:t>1</w:t>
      </w:r>
      <w:r w:rsidR="00144655">
        <w:t xml:space="preserve">% in </w:t>
      </w:r>
      <w:r w:rsidR="00D35437">
        <w:t>January</w:t>
      </w:r>
      <w:r w:rsidR="00144655">
        <w:t xml:space="preserve"> 202</w:t>
      </w:r>
      <w:r w:rsidR="00D35437">
        <w:t>5</w:t>
      </w:r>
      <w:r w:rsidR="00A21943">
        <w:t xml:space="preserve"> </w:t>
      </w:r>
      <w:r w:rsidR="007C266B">
        <w:t xml:space="preserve">does not </w:t>
      </w:r>
      <w:r w:rsidR="00A21943">
        <w:t>help with any monetary policy easing that may be considered by the Fed.</w:t>
      </w:r>
    </w:p>
    <w:p w14:paraId="670F5E44" w14:textId="5C6D4C4B" w:rsidR="009B38B3" w:rsidRDefault="00CC3247" w:rsidP="00E02932">
      <w:pPr>
        <w:spacing w:before="120" w:after="120"/>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277A4">
        <w:t xml:space="preserve">, Hezbollah and </w:t>
      </w:r>
      <w:r w:rsidR="006B19AD">
        <w:t xml:space="preserve"> </w:t>
      </w:r>
      <w:r w:rsidR="006277A4">
        <w:t xml:space="preserve">Houthi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w:t>
      </w:r>
      <w:r w:rsidR="00885792">
        <w:rPr>
          <w:b/>
          <w:bCs/>
        </w:rPr>
        <w:t>reasonable</w:t>
      </w:r>
      <w:r w:rsidR="00090E25" w:rsidRPr="00090E25">
        <w:rPr>
          <w:b/>
          <w:bCs/>
        </w:rPr>
        <w:t xml:space="preserve"> opportunities for investors</w:t>
      </w:r>
      <w:r w:rsidR="00090E25">
        <w:t xml:space="preserve">. </w:t>
      </w:r>
      <w:r w:rsidR="006277A4">
        <w:t>Post the US election, s</w:t>
      </w:r>
      <w:r w:rsidR="007B07C4">
        <w:t xml:space="preserve">hort-term, </w:t>
      </w:r>
      <w:r w:rsidR="007633F4">
        <w:t xml:space="preserve">we </w:t>
      </w:r>
      <w:r w:rsidR="007B07C4">
        <w:t xml:space="preserve">expect </w:t>
      </w:r>
      <w:r w:rsidR="00C5696F">
        <w:t>Q</w:t>
      </w:r>
      <w:r w:rsidR="00C00E8F">
        <w:t>4</w:t>
      </w:r>
      <w:r w:rsidR="00C5696F">
        <w:t xml:space="preserve"> </w:t>
      </w:r>
      <w:r w:rsidR="002903A6">
        <w:t xml:space="preserve">to reflect </w:t>
      </w:r>
      <w:r w:rsidR="006277A4">
        <w:t>cyclical factors</w:t>
      </w:r>
      <w:r w:rsidR="00885792">
        <w:t xml:space="preserve"> (festive season spending)</w:t>
      </w:r>
      <w:r w:rsidR="006277A4">
        <w:t xml:space="preserve">, </w:t>
      </w:r>
      <w:r w:rsidR="00C00E8F">
        <w:t>improving</w:t>
      </w:r>
      <w:r w:rsidR="00C465D1">
        <w:t xml:space="preserve"> </w:t>
      </w:r>
      <w:r w:rsidR="00C5696F">
        <w:t xml:space="preserve">company results plus </w:t>
      </w:r>
      <w:r w:rsidR="00C465D1">
        <w:t>c</w:t>
      </w:r>
      <w:r w:rsidR="00C00E8F">
        <w:t>onservative</w:t>
      </w:r>
      <w:r w:rsidR="00C465D1">
        <w:t xml:space="preserve"> </w:t>
      </w:r>
      <w:r w:rsidR="00885792">
        <w:t xml:space="preserve">company </w:t>
      </w:r>
      <w:r w:rsidR="00C5696F">
        <w:t>forward guidance</w:t>
      </w:r>
      <w:r w:rsidR="00885792">
        <w:t>,</w:t>
      </w:r>
      <w:r w:rsidR="00C465D1">
        <w:t xml:space="preserve"> </w:t>
      </w:r>
      <w:r w:rsidR="00C00E8F">
        <w:t xml:space="preserve">will </w:t>
      </w:r>
      <w:r w:rsidR="00C465D1">
        <w:t>help support</w:t>
      </w:r>
      <w:r w:rsidR="00C5696F">
        <w:t xml:space="preserve"> </w:t>
      </w:r>
      <w:r w:rsidR="00600EF9">
        <w:t>investor appetite as interest rates search for equilibrium</w:t>
      </w:r>
      <w:r w:rsidR="002761ED">
        <w:t xml:space="preserve"> </w:t>
      </w:r>
      <w:r w:rsidR="00885792">
        <w:t xml:space="preserve">somewhere </w:t>
      </w:r>
      <w:r w:rsidR="002761ED">
        <w:t>between the current supply and demand for capital</w:t>
      </w:r>
      <w:r w:rsidR="00C00E8F">
        <w:t>.</w:t>
      </w:r>
      <w:r w:rsidR="00005474">
        <w:rPr>
          <w:rFonts w:ascii="Calibri" w:hAnsi="Calibri" w:cs="Calibri"/>
          <w:color w:val="222222"/>
          <w:sz w:val="24"/>
          <w:szCs w:val="24"/>
          <w:shd w:val="clear" w:color="auto" w:fill="FFFFFF"/>
        </w:rPr>
        <w:t xml:space="preserve"> </w:t>
      </w:r>
    </w:p>
    <w:p w14:paraId="746B3093" w14:textId="22FABC60" w:rsidR="00476B80" w:rsidRPr="00E37E86" w:rsidRDefault="00FA2956" w:rsidP="004273DE">
      <w:pPr>
        <w:spacing w:before="120" w:after="120"/>
        <w:rPr>
          <w:b/>
          <w:bCs/>
        </w:rPr>
      </w:pPr>
      <w:r>
        <w:rPr>
          <w:b/>
          <w:bCs/>
        </w:rPr>
        <w:t>Where to From Here?</w:t>
      </w:r>
    </w:p>
    <w:p w14:paraId="3208B238" w14:textId="77777777" w:rsidR="002761ED" w:rsidRDefault="00FA2956" w:rsidP="004273DE">
      <w:pPr>
        <w:spacing w:before="120" w:after="120"/>
      </w:pPr>
      <w:r w:rsidRPr="00850E8E">
        <w:rPr>
          <w:b/>
          <w:bCs/>
        </w:rPr>
        <w:t>For Australia</w:t>
      </w:r>
      <w:r>
        <w:t xml:space="preserve">, </w:t>
      </w:r>
      <w:r w:rsidR="002761ED">
        <w:t xml:space="preserve"> a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2DD8849D" w14:textId="0E0A2064" w:rsidR="009E17E6" w:rsidRDefault="00A85EE1" w:rsidP="004273DE">
      <w:pPr>
        <w:spacing w:before="120" w:after="120"/>
      </w:pPr>
      <w:r>
        <w:t xml:space="preserve">Company reporting season appears to be </w:t>
      </w:r>
      <w:r w:rsidRPr="00A85EE1">
        <w:rPr>
          <w:b/>
          <w:bCs/>
        </w:rPr>
        <w:t>going well</w:t>
      </w:r>
      <w:r>
        <w:t xml:space="preserve"> with early signs that guidance is being met or exceeded which will support the positive momentum of the share market.</w:t>
      </w:r>
    </w:p>
    <w:p w14:paraId="1C645C19" w14:textId="07BEA5C0" w:rsidR="00A85EE1" w:rsidRDefault="00A85EE1" w:rsidP="004273DE">
      <w:pPr>
        <w:spacing w:before="120" w:after="120"/>
      </w:pPr>
      <w:r>
        <w:t>US tariffs will add to the complexity of markets as the inflationary impact filters through the data. It may not be as disruptive as earlier indicated, hopefully.</w:t>
      </w:r>
    </w:p>
    <w:p w14:paraId="6BF46611" w14:textId="554BD651" w:rsidR="00DC3092" w:rsidRPr="00DC3092" w:rsidRDefault="00A85EE1" w:rsidP="004273DE">
      <w:pPr>
        <w:spacing w:before="120" w:after="120"/>
      </w:pPr>
      <w:r>
        <w:rPr>
          <w:b/>
          <w:bCs/>
        </w:rPr>
        <w:t>T</w:t>
      </w:r>
      <w:r w:rsidRPr="00A85EE1">
        <w:rPr>
          <w:b/>
          <w:bCs/>
        </w:rPr>
        <w:t xml:space="preserve">he </w:t>
      </w:r>
      <w:r w:rsidR="00DC3092" w:rsidRPr="00A85EE1">
        <w:rPr>
          <w:b/>
          <w:bCs/>
        </w:rPr>
        <w:t>Middle East political unrest</w:t>
      </w:r>
      <w:r>
        <w:rPr>
          <w:b/>
          <w:bCs/>
        </w:rPr>
        <w:t xml:space="preserve"> </w:t>
      </w:r>
      <w:r w:rsidRPr="00A85EE1">
        <w:t>is a background factor</w:t>
      </w:r>
      <w:r>
        <w:t xml:space="preserve"> that is not easily solved.</w:t>
      </w:r>
      <w:r w:rsidR="00DC3092">
        <w:rPr>
          <w:b/>
          <w:bCs/>
        </w:rPr>
        <w:t xml:space="preserve">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62F53614" w:rsidR="00D06704" w:rsidRDefault="002761ED" w:rsidP="009E7EF6">
      <w:r w:rsidRPr="002761ED">
        <w:rPr>
          <w:b/>
          <w:bCs/>
        </w:rPr>
        <w:lastRenderedPageBreak/>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w:t>
      </w:r>
      <w:r w:rsidR="007D1BED" w:rsidRPr="007D1BED">
        <w:rPr>
          <w:b/>
          <w:bCs/>
        </w:rPr>
        <w:t>soft landing</w:t>
      </w:r>
      <w:r w:rsidR="007D1BED">
        <w:t xml:space="preserve"> rather than a mild recession</w:t>
      </w:r>
      <w:r w:rsidR="00B52912">
        <w:t xml:space="preserve"> </w:t>
      </w:r>
      <w:r w:rsidR="0002488F">
        <w:t xml:space="preserve">in the US and </w:t>
      </w:r>
      <w:r w:rsidR="00BD7F87">
        <w:t xml:space="preserve">eventually </w:t>
      </w:r>
      <w:r w:rsidR="0002488F">
        <w:t xml:space="preserve">Europe </w:t>
      </w:r>
      <w:r w:rsidR="007F4AD0">
        <w:t>down the track</w:t>
      </w:r>
      <w:r w:rsidR="00005474">
        <w:t xml:space="preserve">. </w:t>
      </w:r>
    </w:p>
    <w:p w14:paraId="67B2D452" w14:textId="19B9DFF5" w:rsidR="004B17FB" w:rsidRDefault="00005474" w:rsidP="009E7EF6">
      <w:r w:rsidRPr="00005474">
        <w:rPr>
          <w:b/>
          <w:bCs/>
        </w:rPr>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Pr="00005474">
        <w:rPr>
          <w:b/>
          <w:bCs/>
        </w:rPr>
        <w:t>found</w:t>
      </w:r>
      <w:r w:rsidR="00B52912" w:rsidRPr="00005474">
        <w:rPr>
          <w:b/>
          <w:bCs/>
        </w:rPr>
        <w:t xml:space="preserve"> a</w:t>
      </w:r>
      <w:r w:rsidR="00B52912" w:rsidRPr="00A64C25">
        <w:rPr>
          <w:b/>
          <w:bCs/>
        </w:rPr>
        <w:t xml:space="preserve"> bottom </w:t>
      </w:r>
      <w:r w:rsidR="004A734E" w:rsidRPr="00A64C25">
        <w:rPr>
          <w:b/>
          <w:bCs/>
        </w:rPr>
        <w:t xml:space="preserve">and </w:t>
      </w:r>
      <w:r w:rsidR="00DF2504">
        <w:rPr>
          <w:b/>
          <w:bCs/>
        </w:rPr>
        <w:t xml:space="preserve">now seeing a clearer picture of what lies ahead.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32492DDB" w:rsidR="00DA7237" w:rsidRDefault="00B52912" w:rsidP="006E0DCD">
      <w:r>
        <w:t xml:space="preserve">Fingers crossed </w:t>
      </w:r>
      <w:r w:rsidR="004A1535">
        <w:t xml:space="preserve">monetary policy </w:t>
      </w:r>
      <w:r w:rsidR="00412A09">
        <w:t xml:space="preserve">direction </w:t>
      </w:r>
      <w:r w:rsidR="00513CA7">
        <w:t xml:space="preserve">remains </w:t>
      </w:r>
      <w:r w:rsidR="00DF2504">
        <w:t xml:space="preserve">accommodative and </w:t>
      </w:r>
      <w:r w:rsidR="00513CA7">
        <w:t xml:space="preserve">trending towards </w:t>
      </w:r>
      <w:r w:rsidR="00DF2504">
        <w:t>further</w:t>
      </w:r>
      <w:r w:rsidR="00513CA7">
        <w:t xml:space="preserve"> easing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699E7283" w14:textId="77777777" w:rsidR="006E0DCD" w:rsidRDefault="006E0DCD" w:rsidP="0090611C">
      <w:pPr>
        <w:rPr>
          <w:b/>
          <w:bCs/>
        </w:rPr>
      </w:pPr>
    </w:p>
    <w:p w14:paraId="425DC95A" w14:textId="77777777" w:rsidR="006E0DCD" w:rsidRDefault="006E0DCD" w:rsidP="0090611C">
      <w:pPr>
        <w:rPr>
          <w:b/>
          <w:bCs/>
        </w:rPr>
      </w:pPr>
    </w:p>
    <w:p w14:paraId="16C7828D" w14:textId="77777777" w:rsidR="00237BF2" w:rsidRDefault="00237BF2" w:rsidP="0090611C">
      <w:pPr>
        <w:rPr>
          <w:b/>
          <w:bCs/>
        </w:rPr>
      </w:pPr>
    </w:p>
    <w:p w14:paraId="277A5B59" w14:textId="77777777" w:rsidR="00237BF2" w:rsidRDefault="00237BF2" w:rsidP="0090611C">
      <w:pPr>
        <w:rPr>
          <w:b/>
          <w:bCs/>
        </w:rPr>
      </w:pPr>
    </w:p>
    <w:p w14:paraId="20A62BEF" w14:textId="7E9C044C" w:rsidR="009E7EF6" w:rsidRPr="0002488F" w:rsidRDefault="009E7EF6" w:rsidP="0090611C">
      <w:pPr>
        <w:rPr>
          <w:b/>
          <w:bCs/>
        </w:rPr>
      </w:pPr>
      <w:r w:rsidRPr="0002488F">
        <w:rPr>
          <w:b/>
          <w:bCs/>
        </w:rPr>
        <w:t>Footnote</w:t>
      </w:r>
    </w:p>
    <w:p w14:paraId="458C9861" w14:textId="07C1B86A" w:rsidR="00DE74A4" w:rsidRPr="000F52AB" w:rsidRDefault="009E7EF6" w:rsidP="00421DFB">
      <w:r w:rsidRPr="00A851EE">
        <w:rPr>
          <w:sz w:val="18"/>
        </w:rPr>
        <w:t xml:space="preserve">This market update written by Graham Fox for and on behalf of HNW Planning on </w:t>
      </w:r>
      <w:r w:rsidR="004A1535">
        <w:rPr>
          <w:sz w:val="18"/>
        </w:rPr>
        <w:t>1</w:t>
      </w:r>
      <w:r w:rsidR="003C1EAF">
        <w:rPr>
          <w:sz w:val="18"/>
        </w:rPr>
        <w:t>8</w:t>
      </w:r>
      <w:r w:rsidRPr="00A851EE">
        <w:rPr>
          <w:sz w:val="18"/>
        </w:rPr>
        <w:t>/</w:t>
      </w:r>
      <w:r w:rsidR="00DD4708">
        <w:rPr>
          <w:sz w:val="18"/>
        </w:rPr>
        <w:t>0</w:t>
      </w:r>
      <w:r w:rsidR="003C1EAF">
        <w:rPr>
          <w:sz w:val="18"/>
        </w:rPr>
        <w:t>2</w:t>
      </w:r>
      <w:r w:rsidRPr="00A851EE">
        <w:rPr>
          <w:sz w:val="18"/>
        </w:rPr>
        <w:t>/20</w:t>
      </w:r>
      <w:r w:rsidR="00E37E86">
        <w:rPr>
          <w:sz w:val="18"/>
        </w:rPr>
        <w:t>2</w:t>
      </w:r>
      <w:r w:rsidR="00DD4708">
        <w:rPr>
          <w:sz w:val="18"/>
        </w:rPr>
        <w:t>5</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20"/>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F815D" w14:textId="77777777" w:rsidR="00443F3F" w:rsidRDefault="00443F3F" w:rsidP="00EB28A8">
      <w:pPr>
        <w:spacing w:after="0" w:line="240" w:lineRule="auto"/>
      </w:pPr>
      <w:r>
        <w:separator/>
      </w:r>
    </w:p>
  </w:endnote>
  <w:endnote w:type="continuationSeparator" w:id="0">
    <w:p w14:paraId="3C216EA3" w14:textId="77777777" w:rsidR="00443F3F" w:rsidRDefault="00443F3F"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EF5A" w14:textId="77777777" w:rsidR="00443F3F" w:rsidRDefault="00443F3F" w:rsidP="00EB28A8">
      <w:pPr>
        <w:spacing w:after="0" w:line="240" w:lineRule="auto"/>
      </w:pPr>
      <w:r>
        <w:separator/>
      </w:r>
    </w:p>
  </w:footnote>
  <w:footnote w:type="continuationSeparator" w:id="0">
    <w:p w14:paraId="1E7EF2B1" w14:textId="77777777" w:rsidR="00443F3F" w:rsidRDefault="00443F3F"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96608F"/>
    <w:multiLevelType w:val="hybridMultilevel"/>
    <w:tmpl w:val="125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6"/>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7"/>
  </w:num>
  <w:num w:numId="8" w16cid:durableId="1542089249">
    <w:abstractNumId w:val="8"/>
  </w:num>
  <w:num w:numId="9" w16cid:durableId="5621821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35C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1762"/>
    <w:rsid w:val="00042755"/>
    <w:rsid w:val="0004442A"/>
    <w:rsid w:val="00045650"/>
    <w:rsid w:val="000458E9"/>
    <w:rsid w:val="00046301"/>
    <w:rsid w:val="00046589"/>
    <w:rsid w:val="00046840"/>
    <w:rsid w:val="00046899"/>
    <w:rsid w:val="00050628"/>
    <w:rsid w:val="0005073D"/>
    <w:rsid w:val="00051004"/>
    <w:rsid w:val="00051451"/>
    <w:rsid w:val="000530FF"/>
    <w:rsid w:val="00053887"/>
    <w:rsid w:val="00054BDB"/>
    <w:rsid w:val="000558CB"/>
    <w:rsid w:val="00055F78"/>
    <w:rsid w:val="000566FA"/>
    <w:rsid w:val="0005674F"/>
    <w:rsid w:val="00056D53"/>
    <w:rsid w:val="0005797F"/>
    <w:rsid w:val="00060AB6"/>
    <w:rsid w:val="00061657"/>
    <w:rsid w:val="00062337"/>
    <w:rsid w:val="00063F3C"/>
    <w:rsid w:val="00066C19"/>
    <w:rsid w:val="00066E8A"/>
    <w:rsid w:val="00067753"/>
    <w:rsid w:val="000678BF"/>
    <w:rsid w:val="000678F3"/>
    <w:rsid w:val="00071486"/>
    <w:rsid w:val="00072B77"/>
    <w:rsid w:val="000732F1"/>
    <w:rsid w:val="00074A1A"/>
    <w:rsid w:val="00076007"/>
    <w:rsid w:val="000764FC"/>
    <w:rsid w:val="00077B36"/>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1A15"/>
    <w:rsid w:val="000A26DE"/>
    <w:rsid w:val="000A36E7"/>
    <w:rsid w:val="000A3B2A"/>
    <w:rsid w:val="000A5F08"/>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3B82"/>
    <w:rsid w:val="000F52AB"/>
    <w:rsid w:val="000F5F52"/>
    <w:rsid w:val="000F60F5"/>
    <w:rsid w:val="000F626C"/>
    <w:rsid w:val="000F6842"/>
    <w:rsid w:val="000F725D"/>
    <w:rsid w:val="000F7387"/>
    <w:rsid w:val="000F75CE"/>
    <w:rsid w:val="000F7783"/>
    <w:rsid w:val="000F7BDA"/>
    <w:rsid w:val="0010043C"/>
    <w:rsid w:val="00102BB6"/>
    <w:rsid w:val="00102E4C"/>
    <w:rsid w:val="0010573F"/>
    <w:rsid w:val="00105BCC"/>
    <w:rsid w:val="00105FA6"/>
    <w:rsid w:val="001066CC"/>
    <w:rsid w:val="00107049"/>
    <w:rsid w:val="001073CA"/>
    <w:rsid w:val="00107972"/>
    <w:rsid w:val="00107D5C"/>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57FA"/>
    <w:rsid w:val="00126DB8"/>
    <w:rsid w:val="00126E28"/>
    <w:rsid w:val="001308C8"/>
    <w:rsid w:val="00131EB9"/>
    <w:rsid w:val="001357C3"/>
    <w:rsid w:val="00136204"/>
    <w:rsid w:val="00136F68"/>
    <w:rsid w:val="00137324"/>
    <w:rsid w:val="001405F3"/>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1550"/>
    <w:rsid w:val="00172116"/>
    <w:rsid w:val="00172387"/>
    <w:rsid w:val="001727F2"/>
    <w:rsid w:val="00173FB8"/>
    <w:rsid w:val="001740F6"/>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1CE"/>
    <w:rsid w:val="001928CD"/>
    <w:rsid w:val="001931DC"/>
    <w:rsid w:val="00193344"/>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379"/>
    <w:rsid w:val="001B3923"/>
    <w:rsid w:val="001B6CB4"/>
    <w:rsid w:val="001B6DA8"/>
    <w:rsid w:val="001C03FC"/>
    <w:rsid w:val="001C431B"/>
    <w:rsid w:val="001C4340"/>
    <w:rsid w:val="001C4744"/>
    <w:rsid w:val="001C4983"/>
    <w:rsid w:val="001C51F1"/>
    <w:rsid w:val="001C5422"/>
    <w:rsid w:val="001C5785"/>
    <w:rsid w:val="001C5C1E"/>
    <w:rsid w:val="001C71C7"/>
    <w:rsid w:val="001C7E65"/>
    <w:rsid w:val="001D0CB0"/>
    <w:rsid w:val="001D1BE0"/>
    <w:rsid w:val="001D27DC"/>
    <w:rsid w:val="001D4157"/>
    <w:rsid w:val="001D4978"/>
    <w:rsid w:val="001D5F2A"/>
    <w:rsid w:val="001D6939"/>
    <w:rsid w:val="001E009D"/>
    <w:rsid w:val="001E0455"/>
    <w:rsid w:val="001E16AE"/>
    <w:rsid w:val="001E2B4C"/>
    <w:rsid w:val="001E2CD5"/>
    <w:rsid w:val="001E3C77"/>
    <w:rsid w:val="001E5116"/>
    <w:rsid w:val="001E6018"/>
    <w:rsid w:val="001E6034"/>
    <w:rsid w:val="001E64FB"/>
    <w:rsid w:val="001E68EF"/>
    <w:rsid w:val="001E7507"/>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32E2"/>
    <w:rsid w:val="0020369D"/>
    <w:rsid w:val="00205A1C"/>
    <w:rsid w:val="002061AD"/>
    <w:rsid w:val="00206682"/>
    <w:rsid w:val="0021071B"/>
    <w:rsid w:val="00210AED"/>
    <w:rsid w:val="00211307"/>
    <w:rsid w:val="0021189B"/>
    <w:rsid w:val="00212403"/>
    <w:rsid w:val="00212697"/>
    <w:rsid w:val="00212DCC"/>
    <w:rsid w:val="00212FE4"/>
    <w:rsid w:val="002158C5"/>
    <w:rsid w:val="00216061"/>
    <w:rsid w:val="00216740"/>
    <w:rsid w:val="00216D19"/>
    <w:rsid w:val="00217339"/>
    <w:rsid w:val="00220A49"/>
    <w:rsid w:val="002214C5"/>
    <w:rsid w:val="0022166E"/>
    <w:rsid w:val="002218B5"/>
    <w:rsid w:val="00223BED"/>
    <w:rsid w:val="00224632"/>
    <w:rsid w:val="00225A8C"/>
    <w:rsid w:val="00225DE3"/>
    <w:rsid w:val="0022688A"/>
    <w:rsid w:val="00226C85"/>
    <w:rsid w:val="0022755C"/>
    <w:rsid w:val="00230A8F"/>
    <w:rsid w:val="0023164B"/>
    <w:rsid w:val="00232598"/>
    <w:rsid w:val="002339AC"/>
    <w:rsid w:val="00233D00"/>
    <w:rsid w:val="00234D9D"/>
    <w:rsid w:val="002350CD"/>
    <w:rsid w:val="00235353"/>
    <w:rsid w:val="00235AFB"/>
    <w:rsid w:val="00236F73"/>
    <w:rsid w:val="002376A3"/>
    <w:rsid w:val="002378C4"/>
    <w:rsid w:val="00237BF2"/>
    <w:rsid w:val="0024149E"/>
    <w:rsid w:val="0024288B"/>
    <w:rsid w:val="00242925"/>
    <w:rsid w:val="002431FA"/>
    <w:rsid w:val="0024668D"/>
    <w:rsid w:val="00246A5B"/>
    <w:rsid w:val="00247C5F"/>
    <w:rsid w:val="00247E87"/>
    <w:rsid w:val="0025086B"/>
    <w:rsid w:val="002537E1"/>
    <w:rsid w:val="00254B16"/>
    <w:rsid w:val="0025538C"/>
    <w:rsid w:val="0025660A"/>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5C7E"/>
    <w:rsid w:val="002761ED"/>
    <w:rsid w:val="002767D1"/>
    <w:rsid w:val="002770F6"/>
    <w:rsid w:val="002772F8"/>
    <w:rsid w:val="00277704"/>
    <w:rsid w:val="0027780B"/>
    <w:rsid w:val="00277A42"/>
    <w:rsid w:val="002804E9"/>
    <w:rsid w:val="002809E4"/>
    <w:rsid w:val="00280EC0"/>
    <w:rsid w:val="00281A35"/>
    <w:rsid w:val="002828E4"/>
    <w:rsid w:val="00282C5F"/>
    <w:rsid w:val="00283F6D"/>
    <w:rsid w:val="00286876"/>
    <w:rsid w:val="00286877"/>
    <w:rsid w:val="00286B94"/>
    <w:rsid w:val="002903A6"/>
    <w:rsid w:val="002906FB"/>
    <w:rsid w:val="00290B47"/>
    <w:rsid w:val="00291067"/>
    <w:rsid w:val="0029191E"/>
    <w:rsid w:val="0029438A"/>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4F5F"/>
    <w:rsid w:val="002B56F0"/>
    <w:rsid w:val="002B61FC"/>
    <w:rsid w:val="002B7C51"/>
    <w:rsid w:val="002B7F2F"/>
    <w:rsid w:val="002C183C"/>
    <w:rsid w:val="002C1AD6"/>
    <w:rsid w:val="002C1D4B"/>
    <w:rsid w:val="002C2046"/>
    <w:rsid w:val="002C2064"/>
    <w:rsid w:val="002C3A77"/>
    <w:rsid w:val="002C4839"/>
    <w:rsid w:val="002C4C84"/>
    <w:rsid w:val="002C6C3E"/>
    <w:rsid w:val="002D0C17"/>
    <w:rsid w:val="002D1C33"/>
    <w:rsid w:val="002D21A1"/>
    <w:rsid w:val="002D47EA"/>
    <w:rsid w:val="002D4F09"/>
    <w:rsid w:val="002D53B9"/>
    <w:rsid w:val="002D5D13"/>
    <w:rsid w:val="002D7C21"/>
    <w:rsid w:val="002E1A3F"/>
    <w:rsid w:val="002E1D59"/>
    <w:rsid w:val="002E2AE9"/>
    <w:rsid w:val="002E3192"/>
    <w:rsid w:val="002E391C"/>
    <w:rsid w:val="002E535D"/>
    <w:rsid w:val="002E6845"/>
    <w:rsid w:val="002E7897"/>
    <w:rsid w:val="002E79D5"/>
    <w:rsid w:val="002F043F"/>
    <w:rsid w:val="002F0E91"/>
    <w:rsid w:val="002F2CC6"/>
    <w:rsid w:val="002F3360"/>
    <w:rsid w:val="002F4071"/>
    <w:rsid w:val="002F45CF"/>
    <w:rsid w:val="002F5933"/>
    <w:rsid w:val="002F59EA"/>
    <w:rsid w:val="002F5F70"/>
    <w:rsid w:val="00300938"/>
    <w:rsid w:val="00300FD9"/>
    <w:rsid w:val="00301330"/>
    <w:rsid w:val="00301803"/>
    <w:rsid w:val="003033AC"/>
    <w:rsid w:val="003045BD"/>
    <w:rsid w:val="0030556E"/>
    <w:rsid w:val="00310DA6"/>
    <w:rsid w:val="00311F31"/>
    <w:rsid w:val="00314A61"/>
    <w:rsid w:val="00315A24"/>
    <w:rsid w:val="0031645E"/>
    <w:rsid w:val="00316AE6"/>
    <w:rsid w:val="00317447"/>
    <w:rsid w:val="0032154C"/>
    <w:rsid w:val="003215F3"/>
    <w:rsid w:val="0032174E"/>
    <w:rsid w:val="0032180A"/>
    <w:rsid w:val="0032239E"/>
    <w:rsid w:val="00322449"/>
    <w:rsid w:val="003233E3"/>
    <w:rsid w:val="0032364A"/>
    <w:rsid w:val="00324270"/>
    <w:rsid w:val="00324676"/>
    <w:rsid w:val="00325ABE"/>
    <w:rsid w:val="00327054"/>
    <w:rsid w:val="00327397"/>
    <w:rsid w:val="00327D51"/>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3E96"/>
    <w:rsid w:val="00364070"/>
    <w:rsid w:val="003644E7"/>
    <w:rsid w:val="00364A2C"/>
    <w:rsid w:val="00365400"/>
    <w:rsid w:val="003654CD"/>
    <w:rsid w:val="00365C86"/>
    <w:rsid w:val="00366EA8"/>
    <w:rsid w:val="0037124B"/>
    <w:rsid w:val="00371397"/>
    <w:rsid w:val="00371A50"/>
    <w:rsid w:val="0037282C"/>
    <w:rsid w:val="00372AF5"/>
    <w:rsid w:val="00373E37"/>
    <w:rsid w:val="00374B13"/>
    <w:rsid w:val="00375195"/>
    <w:rsid w:val="003757D8"/>
    <w:rsid w:val="00377B5C"/>
    <w:rsid w:val="00377E57"/>
    <w:rsid w:val="003824D8"/>
    <w:rsid w:val="00382C31"/>
    <w:rsid w:val="00382D5C"/>
    <w:rsid w:val="00383326"/>
    <w:rsid w:val="00384D05"/>
    <w:rsid w:val="00384EB8"/>
    <w:rsid w:val="00385571"/>
    <w:rsid w:val="00387588"/>
    <w:rsid w:val="00387C8F"/>
    <w:rsid w:val="00390D33"/>
    <w:rsid w:val="0039159F"/>
    <w:rsid w:val="00391BC9"/>
    <w:rsid w:val="00391D85"/>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7241"/>
    <w:rsid w:val="003A7C20"/>
    <w:rsid w:val="003B014A"/>
    <w:rsid w:val="003B086D"/>
    <w:rsid w:val="003B094A"/>
    <w:rsid w:val="003B1467"/>
    <w:rsid w:val="003B1919"/>
    <w:rsid w:val="003B24A2"/>
    <w:rsid w:val="003B2545"/>
    <w:rsid w:val="003B4810"/>
    <w:rsid w:val="003B5A2E"/>
    <w:rsid w:val="003B5C51"/>
    <w:rsid w:val="003C0A02"/>
    <w:rsid w:val="003C15AC"/>
    <w:rsid w:val="003C1B17"/>
    <w:rsid w:val="003C1DA4"/>
    <w:rsid w:val="003C1EAF"/>
    <w:rsid w:val="003C23F8"/>
    <w:rsid w:val="003C26EF"/>
    <w:rsid w:val="003C279F"/>
    <w:rsid w:val="003C4073"/>
    <w:rsid w:val="003C40F3"/>
    <w:rsid w:val="003C5147"/>
    <w:rsid w:val="003C5324"/>
    <w:rsid w:val="003C5801"/>
    <w:rsid w:val="003C6F2D"/>
    <w:rsid w:val="003C727F"/>
    <w:rsid w:val="003D0503"/>
    <w:rsid w:val="003D19F1"/>
    <w:rsid w:val="003D5229"/>
    <w:rsid w:val="003D78AB"/>
    <w:rsid w:val="003E1682"/>
    <w:rsid w:val="003E1A6E"/>
    <w:rsid w:val="003E1E0A"/>
    <w:rsid w:val="003E1FA0"/>
    <w:rsid w:val="003E2AA4"/>
    <w:rsid w:val="003E37EE"/>
    <w:rsid w:val="003E3E67"/>
    <w:rsid w:val="003E5CBD"/>
    <w:rsid w:val="003E66A5"/>
    <w:rsid w:val="003E7BC7"/>
    <w:rsid w:val="003F0516"/>
    <w:rsid w:val="003F48A6"/>
    <w:rsid w:val="003F4C03"/>
    <w:rsid w:val="003F5122"/>
    <w:rsid w:val="003F65C3"/>
    <w:rsid w:val="003F6F54"/>
    <w:rsid w:val="003F73CE"/>
    <w:rsid w:val="0040095F"/>
    <w:rsid w:val="004010C2"/>
    <w:rsid w:val="004015A8"/>
    <w:rsid w:val="00401C8C"/>
    <w:rsid w:val="00402816"/>
    <w:rsid w:val="00402FB6"/>
    <w:rsid w:val="00403EC7"/>
    <w:rsid w:val="00404E3B"/>
    <w:rsid w:val="004100BF"/>
    <w:rsid w:val="0041035D"/>
    <w:rsid w:val="004104F2"/>
    <w:rsid w:val="00410F37"/>
    <w:rsid w:val="00411B92"/>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300"/>
    <w:rsid w:val="00425BFB"/>
    <w:rsid w:val="004273DE"/>
    <w:rsid w:val="00427E64"/>
    <w:rsid w:val="00427F92"/>
    <w:rsid w:val="00430529"/>
    <w:rsid w:val="00430D76"/>
    <w:rsid w:val="004322E9"/>
    <w:rsid w:val="00432B90"/>
    <w:rsid w:val="00433E2E"/>
    <w:rsid w:val="00433FF5"/>
    <w:rsid w:val="004346A4"/>
    <w:rsid w:val="004358E1"/>
    <w:rsid w:val="00435B82"/>
    <w:rsid w:val="00435DC7"/>
    <w:rsid w:val="004361BB"/>
    <w:rsid w:val="00436ACA"/>
    <w:rsid w:val="00436EB4"/>
    <w:rsid w:val="004405E5"/>
    <w:rsid w:val="00440D16"/>
    <w:rsid w:val="00440D3D"/>
    <w:rsid w:val="004429BF"/>
    <w:rsid w:val="00442AE0"/>
    <w:rsid w:val="00443C00"/>
    <w:rsid w:val="00443F3F"/>
    <w:rsid w:val="00444784"/>
    <w:rsid w:val="00446119"/>
    <w:rsid w:val="0044661F"/>
    <w:rsid w:val="00451632"/>
    <w:rsid w:val="0045168D"/>
    <w:rsid w:val="00453990"/>
    <w:rsid w:val="00455665"/>
    <w:rsid w:val="004569FB"/>
    <w:rsid w:val="00456B36"/>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3077"/>
    <w:rsid w:val="00484BBB"/>
    <w:rsid w:val="00485257"/>
    <w:rsid w:val="0048590B"/>
    <w:rsid w:val="00486C5D"/>
    <w:rsid w:val="00486CF9"/>
    <w:rsid w:val="0048717C"/>
    <w:rsid w:val="004873E0"/>
    <w:rsid w:val="004874EC"/>
    <w:rsid w:val="004877F5"/>
    <w:rsid w:val="00487E51"/>
    <w:rsid w:val="004902C7"/>
    <w:rsid w:val="004908E9"/>
    <w:rsid w:val="00490C51"/>
    <w:rsid w:val="00490C6B"/>
    <w:rsid w:val="004915C5"/>
    <w:rsid w:val="004916DD"/>
    <w:rsid w:val="0049196F"/>
    <w:rsid w:val="004922DA"/>
    <w:rsid w:val="0049413E"/>
    <w:rsid w:val="00494DCF"/>
    <w:rsid w:val="00495728"/>
    <w:rsid w:val="00495A64"/>
    <w:rsid w:val="00495E72"/>
    <w:rsid w:val="004965C1"/>
    <w:rsid w:val="00496B7E"/>
    <w:rsid w:val="00496E5B"/>
    <w:rsid w:val="00497862"/>
    <w:rsid w:val="004A017F"/>
    <w:rsid w:val="004A0AD6"/>
    <w:rsid w:val="004A0B93"/>
    <w:rsid w:val="004A1535"/>
    <w:rsid w:val="004A1AC0"/>
    <w:rsid w:val="004A252E"/>
    <w:rsid w:val="004A34E4"/>
    <w:rsid w:val="004A4F77"/>
    <w:rsid w:val="004A6010"/>
    <w:rsid w:val="004A734E"/>
    <w:rsid w:val="004B064A"/>
    <w:rsid w:val="004B0A40"/>
    <w:rsid w:val="004B0FB5"/>
    <w:rsid w:val="004B1467"/>
    <w:rsid w:val="004B17FB"/>
    <w:rsid w:val="004B1D18"/>
    <w:rsid w:val="004B2806"/>
    <w:rsid w:val="004B4415"/>
    <w:rsid w:val="004B469E"/>
    <w:rsid w:val="004B57B4"/>
    <w:rsid w:val="004B588D"/>
    <w:rsid w:val="004B7BB6"/>
    <w:rsid w:val="004C033E"/>
    <w:rsid w:val="004C1112"/>
    <w:rsid w:val="004C3B67"/>
    <w:rsid w:val="004C3C46"/>
    <w:rsid w:val="004C3E27"/>
    <w:rsid w:val="004C4389"/>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7A"/>
    <w:rsid w:val="00502DA1"/>
    <w:rsid w:val="00503B0B"/>
    <w:rsid w:val="00503D92"/>
    <w:rsid w:val="0050466F"/>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BE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1607"/>
    <w:rsid w:val="005539C2"/>
    <w:rsid w:val="00553B02"/>
    <w:rsid w:val="00554A8E"/>
    <w:rsid w:val="0055685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7CD"/>
    <w:rsid w:val="005738C3"/>
    <w:rsid w:val="00574A05"/>
    <w:rsid w:val="00574F6A"/>
    <w:rsid w:val="005769A7"/>
    <w:rsid w:val="005775E2"/>
    <w:rsid w:val="0058031F"/>
    <w:rsid w:val="00580A95"/>
    <w:rsid w:val="00581A97"/>
    <w:rsid w:val="00581C28"/>
    <w:rsid w:val="00584251"/>
    <w:rsid w:val="00584462"/>
    <w:rsid w:val="005851AB"/>
    <w:rsid w:val="0058542D"/>
    <w:rsid w:val="00585652"/>
    <w:rsid w:val="005860E8"/>
    <w:rsid w:val="0058617A"/>
    <w:rsid w:val="0058737E"/>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5116"/>
    <w:rsid w:val="005B5798"/>
    <w:rsid w:val="005B5EF1"/>
    <w:rsid w:val="005B6584"/>
    <w:rsid w:val="005B7424"/>
    <w:rsid w:val="005B759C"/>
    <w:rsid w:val="005C0E2A"/>
    <w:rsid w:val="005C0E5C"/>
    <w:rsid w:val="005C178D"/>
    <w:rsid w:val="005C2609"/>
    <w:rsid w:val="005C2B9A"/>
    <w:rsid w:val="005C4645"/>
    <w:rsid w:val="005C5CE5"/>
    <w:rsid w:val="005C691D"/>
    <w:rsid w:val="005D2435"/>
    <w:rsid w:val="005D30D3"/>
    <w:rsid w:val="005D3711"/>
    <w:rsid w:val="005D39F6"/>
    <w:rsid w:val="005D4428"/>
    <w:rsid w:val="005D57B1"/>
    <w:rsid w:val="005D6DB2"/>
    <w:rsid w:val="005D6E32"/>
    <w:rsid w:val="005D7E5A"/>
    <w:rsid w:val="005E1E51"/>
    <w:rsid w:val="005E2C87"/>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E26"/>
    <w:rsid w:val="00614006"/>
    <w:rsid w:val="00614A99"/>
    <w:rsid w:val="0061626F"/>
    <w:rsid w:val="00616433"/>
    <w:rsid w:val="006167B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42BAE"/>
    <w:rsid w:val="0064459E"/>
    <w:rsid w:val="00650252"/>
    <w:rsid w:val="006504F7"/>
    <w:rsid w:val="00651220"/>
    <w:rsid w:val="00653261"/>
    <w:rsid w:val="006536A9"/>
    <w:rsid w:val="00656A73"/>
    <w:rsid w:val="006601A3"/>
    <w:rsid w:val="006604D3"/>
    <w:rsid w:val="00662B0C"/>
    <w:rsid w:val="006636F3"/>
    <w:rsid w:val="006642EF"/>
    <w:rsid w:val="00664D4C"/>
    <w:rsid w:val="00665AF3"/>
    <w:rsid w:val="00667C14"/>
    <w:rsid w:val="00670038"/>
    <w:rsid w:val="00670F31"/>
    <w:rsid w:val="00671CB3"/>
    <w:rsid w:val="006729B3"/>
    <w:rsid w:val="006742C4"/>
    <w:rsid w:val="00675F94"/>
    <w:rsid w:val="00677BFA"/>
    <w:rsid w:val="00680B35"/>
    <w:rsid w:val="00680B48"/>
    <w:rsid w:val="00680BB2"/>
    <w:rsid w:val="006820B4"/>
    <w:rsid w:val="006828F2"/>
    <w:rsid w:val="00682F59"/>
    <w:rsid w:val="0068461E"/>
    <w:rsid w:val="00686D84"/>
    <w:rsid w:val="00687048"/>
    <w:rsid w:val="00687F60"/>
    <w:rsid w:val="0069334F"/>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60C7"/>
    <w:rsid w:val="006F752C"/>
    <w:rsid w:val="00700039"/>
    <w:rsid w:val="00700268"/>
    <w:rsid w:val="007004E3"/>
    <w:rsid w:val="00700656"/>
    <w:rsid w:val="00700CF4"/>
    <w:rsid w:val="00702885"/>
    <w:rsid w:val="00703580"/>
    <w:rsid w:val="007037A8"/>
    <w:rsid w:val="00704DC0"/>
    <w:rsid w:val="0070722D"/>
    <w:rsid w:val="007077FC"/>
    <w:rsid w:val="00710080"/>
    <w:rsid w:val="00711DF0"/>
    <w:rsid w:val="00711F59"/>
    <w:rsid w:val="007128CD"/>
    <w:rsid w:val="00712A94"/>
    <w:rsid w:val="00712EFE"/>
    <w:rsid w:val="00712F6A"/>
    <w:rsid w:val="007145A7"/>
    <w:rsid w:val="00714CEB"/>
    <w:rsid w:val="00715AA0"/>
    <w:rsid w:val="00716C33"/>
    <w:rsid w:val="0072131D"/>
    <w:rsid w:val="00722592"/>
    <w:rsid w:val="007233A7"/>
    <w:rsid w:val="00724B5F"/>
    <w:rsid w:val="00726837"/>
    <w:rsid w:val="00726A15"/>
    <w:rsid w:val="0073033B"/>
    <w:rsid w:val="00730824"/>
    <w:rsid w:val="00730CC2"/>
    <w:rsid w:val="00733E8C"/>
    <w:rsid w:val="00733FAC"/>
    <w:rsid w:val="007343AC"/>
    <w:rsid w:val="0073462F"/>
    <w:rsid w:val="007346C1"/>
    <w:rsid w:val="0073596C"/>
    <w:rsid w:val="00735BDB"/>
    <w:rsid w:val="00736488"/>
    <w:rsid w:val="007367EC"/>
    <w:rsid w:val="0074091A"/>
    <w:rsid w:val="00740F4A"/>
    <w:rsid w:val="00742B86"/>
    <w:rsid w:val="00743F9B"/>
    <w:rsid w:val="0074456C"/>
    <w:rsid w:val="00744CDD"/>
    <w:rsid w:val="00744D85"/>
    <w:rsid w:val="00745215"/>
    <w:rsid w:val="00747B97"/>
    <w:rsid w:val="00747D82"/>
    <w:rsid w:val="00750526"/>
    <w:rsid w:val="007508B3"/>
    <w:rsid w:val="00750A5B"/>
    <w:rsid w:val="00752356"/>
    <w:rsid w:val="00752610"/>
    <w:rsid w:val="00752E7E"/>
    <w:rsid w:val="00754250"/>
    <w:rsid w:val="00754A4F"/>
    <w:rsid w:val="0075502B"/>
    <w:rsid w:val="00755C0C"/>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7F50"/>
    <w:rsid w:val="0077020B"/>
    <w:rsid w:val="00770631"/>
    <w:rsid w:val="00770BDF"/>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6FD"/>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266B"/>
    <w:rsid w:val="007C54D4"/>
    <w:rsid w:val="007C5668"/>
    <w:rsid w:val="007C56E9"/>
    <w:rsid w:val="007C620D"/>
    <w:rsid w:val="007C64CC"/>
    <w:rsid w:val="007D0366"/>
    <w:rsid w:val="007D050D"/>
    <w:rsid w:val="007D0C99"/>
    <w:rsid w:val="007D1BED"/>
    <w:rsid w:val="007D1D5E"/>
    <w:rsid w:val="007D2C54"/>
    <w:rsid w:val="007D3848"/>
    <w:rsid w:val="007D4100"/>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6BE7"/>
    <w:rsid w:val="007E753C"/>
    <w:rsid w:val="007F084A"/>
    <w:rsid w:val="007F0FC4"/>
    <w:rsid w:val="007F1108"/>
    <w:rsid w:val="007F179F"/>
    <w:rsid w:val="007F1B29"/>
    <w:rsid w:val="007F2F07"/>
    <w:rsid w:val="007F4AD0"/>
    <w:rsid w:val="0080299F"/>
    <w:rsid w:val="00802B2D"/>
    <w:rsid w:val="00802B47"/>
    <w:rsid w:val="00802E86"/>
    <w:rsid w:val="008031A9"/>
    <w:rsid w:val="00803BDF"/>
    <w:rsid w:val="00804AE4"/>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3E57"/>
    <w:rsid w:val="00844677"/>
    <w:rsid w:val="00844ACA"/>
    <w:rsid w:val="008458A1"/>
    <w:rsid w:val="00846711"/>
    <w:rsid w:val="00846741"/>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1E3D"/>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5792"/>
    <w:rsid w:val="0088696A"/>
    <w:rsid w:val="00886A44"/>
    <w:rsid w:val="00890451"/>
    <w:rsid w:val="0089173A"/>
    <w:rsid w:val="00892627"/>
    <w:rsid w:val="00892EB2"/>
    <w:rsid w:val="0089317F"/>
    <w:rsid w:val="00894706"/>
    <w:rsid w:val="00894F9E"/>
    <w:rsid w:val="00896581"/>
    <w:rsid w:val="0089672B"/>
    <w:rsid w:val="008970F9"/>
    <w:rsid w:val="0089710F"/>
    <w:rsid w:val="00897EBA"/>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5C2"/>
    <w:rsid w:val="008C5C18"/>
    <w:rsid w:val="008C61CB"/>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4335"/>
    <w:rsid w:val="008E5840"/>
    <w:rsid w:val="008E5D1F"/>
    <w:rsid w:val="008E757D"/>
    <w:rsid w:val="008E7965"/>
    <w:rsid w:val="008F12F3"/>
    <w:rsid w:val="008F23A8"/>
    <w:rsid w:val="008F3798"/>
    <w:rsid w:val="008F41D2"/>
    <w:rsid w:val="008F5026"/>
    <w:rsid w:val="008F5FF7"/>
    <w:rsid w:val="008F66A2"/>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0589"/>
    <w:rsid w:val="00941D9F"/>
    <w:rsid w:val="009452BE"/>
    <w:rsid w:val="0094539D"/>
    <w:rsid w:val="00947D94"/>
    <w:rsid w:val="0095037E"/>
    <w:rsid w:val="009516D5"/>
    <w:rsid w:val="00951828"/>
    <w:rsid w:val="0095262A"/>
    <w:rsid w:val="00953E75"/>
    <w:rsid w:val="00954F14"/>
    <w:rsid w:val="00954F5E"/>
    <w:rsid w:val="00955680"/>
    <w:rsid w:val="0095603A"/>
    <w:rsid w:val="009560D8"/>
    <w:rsid w:val="00957EC9"/>
    <w:rsid w:val="00960F40"/>
    <w:rsid w:val="00961429"/>
    <w:rsid w:val="00962744"/>
    <w:rsid w:val="00962AD5"/>
    <w:rsid w:val="009631ED"/>
    <w:rsid w:val="00964425"/>
    <w:rsid w:val="0096478F"/>
    <w:rsid w:val="00965252"/>
    <w:rsid w:val="0096556B"/>
    <w:rsid w:val="009657F3"/>
    <w:rsid w:val="0096593D"/>
    <w:rsid w:val="00966124"/>
    <w:rsid w:val="009677B1"/>
    <w:rsid w:val="009677BC"/>
    <w:rsid w:val="0096795C"/>
    <w:rsid w:val="009708AD"/>
    <w:rsid w:val="009718C7"/>
    <w:rsid w:val="00972621"/>
    <w:rsid w:val="009741E1"/>
    <w:rsid w:val="009744FA"/>
    <w:rsid w:val="0097507F"/>
    <w:rsid w:val="00975201"/>
    <w:rsid w:val="009756E0"/>
    <w:rsid w:val="00975C44"/>
    <w:rsid w:val="00975DDE"/>
    <w:rsid w:val="00976AE6"/>
    <w:rsid w:val="0097756C"/>
    <w:rsid w:val="00977DA9"/>
    <w:rsid w:val="00980D88"/>
    <w:rsid w:val="00980E04"/>
    <w:rsid w:val="00981801"/>
    <w:rsid w:val="00981B85"/>
    <w:rsid w:val="0098215E"/>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BCF"/>
    <w:rsid w:val="00997A4E"/>
    <w:rsid w:val="009A1740"/>
    <w:rsid w:val="009A1A13"/>
    <w:rsid w:val="009A1E16"/>
    <w:rsid w:val="009A1EC5"/>
    <w:rsid w:val="009A2A00"/>
    <w:rsid w:val="009A3B59"/>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5D87"/>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0E2D"/>
    <w:rsid w:val="009E17E6"/>
    <w:rsid w:val="009E18CB"/>
    <w:rsid w:val="009E2B99"/>
    <w:rsid w:val="009E2FDA"/>
    <w:rsid w:val="009E5505"/>
    <w:rsid w:val="009E5F01"/>
    <w:rsid w:val="009E6107"/>
    <w:rsid w:val="009E742F"/>
    <w:rsid w:val="009E7954"/>
    <w:rsid w:val="009E7EF6"/>
    <w:rsid w:val="009F0238"/>
    <w:rsid w:val="009F0449"/>
    <w:rsid w:val="009F0482"/>
    <w:rsid w:val="009F0A63"/>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1943"/>
    <w:rsid w:val="00A22047"/>
    <w:rsid w:val="00A222FF"/>
    <w:rsid w:val="00A22C87"/>
    <w:rsid w:val="00A22F18"/>
    <w:rsid w:val="00A23AF0"/>
    <w:rsid w:val="00A2477F"/>
    <w:rsid w:val="00A24C96"/>
    <w:rsid w:val="00A25255"/>
    <w:rsid w:val="00A255C6"/>
    <w:rsid w:val="00A27AD9"/>
    <w:rsid w:val="00A3027F"/>
    <w:rsid w:val="00A303B6"/>
    <w:rsid w:val="00A3063D"/>
    <w:rsid w:val="00A322BD"/>
    <w:rsid w:val="00A32D8C"/>
    <w:rsid w:val="00A3418C"/>
    <w:rsid w:val="00A35110"/>
    <w:rsid w:val="00A352A1"/>
    <w:rsid w:val="00A366D1"/>
    <w:rsid w:val="00A36909"/>
    <w:rsid w:val="00A413AA"/>
    <w:rsid w:val="00A438C6"/>
    <w:rsid w:val="00A439D5"/>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9C7"/>
    <w:rsid w:val="00A64C25"/>
    <w:rsid w:val="00A653E3"/>
    <w:rsid w:val="00A65ED5"/>
    <w:rsid w:val="00A665A7"/>
    <w:rsid w:val="00A66651"/>
    <w:rsid w:val="00A66805"/>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9F6"/>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212"/>
    <w:rsid w:val="00A85A05"/>
    <w:rsid w:val="00A85EE1"/>
    <w:rsid w:val="00A87065"/>
    <w:rsid w:val="00A911F7"/>
    <w:rsid w:val="00A9301F"/>
    <w:rsid w:val="00A933B9"/>
    <w:rsid w:val="00A94C92"/>
    <w:rsid w:val="00A954C5"/>
    <w:rsid w:val="00A95644"/>
    <w:rsid w:val="00A95835"/>
    <w:rsid w:val="00A972FA"/>
    <w:rsid w:val="00A97612"/>
    <w:rsid w:val="00A9793C"/>
    <w:rsid w:val="00AA1F22"/>
    <w:rsid w:val="00AA3715"/>
    <w:rsid w:val="00AA45F6"/>
    <w:rsid w:val="00AA61C2"/>
    <w:rsid w:val="00AA627D"/>
    <w:rsid w:val="00AA69BE"/>
    <w:rsid w:val="00AA7C40"/>
    <w:rsid w:val="00AB090A"/>
    <w:rsid w:val="00AB0F8B"/>
    <w:rsid w:val="00AB1F56"/>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27C4"/>
    <w:rsid w:val="00AF3041"/>
    <w:rsid w:val="00AF31FD"/>
    <w:rsid w:val="00AF35A5"/>
    <w:rsid w:val="00AF47FF"/>
    <w:rsid w:val="00AF5A65"/>
    <w:rsid w:val="00AF5AB7"/>
    <w:rsid w:val="00AF5C06"/>
    <w:rsid w:val="00AF63BB"/>
    <w:rsid w:val="00AF697A"/>
    <w:rsid w:val="00AF72BE"/>
    <w:rsid w:val="00AF7EE3"/>
    <w:rsid w:val="00B00917"/>
    <w:rsid w:val="00B01E10"/>
    <w:rsid w:val="00B02125"/>
    <w:rsid w:val="00B0357D"/>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1D78"/>
    <w:rsid w:val="00B22254"/>
    <w:rsid w:val="00B23557"/>
    <w:rsid w:val="00B23BF2"/>
    <w:rsid w:val="00B23D9F"/>
    <w:rsid w:val="00B24141"/>
    <w:rsid w:val="00B2416D"/>
    <w:rsid w:val="00B24CEA"/>
    <w:rsid w:val="00B26539"/>
    <w:rsid w:val="00B2741F"/>
    <w:rsid w:val="00B2779A"/>
    <w:rsid w:val="00B278F5"/>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1EA3"/>
    <w:rsid w:val="00B52751"/>
    <w:rsid w:val="00B52912"/>
    <w:rsid w:val="00B53288"/>
    <w:rsid w:val="00B54408"/>
    <w:rsid w:val="00B55883"/>
    <w:rsid w:val="00B55D9D"/>
    <w:rsid w:val="00B56D75"/>
    <w:rsid w:val="00B608AB"/>
    <w:rsid w:val="00B61A25"/>
    <w:rsid w:val="00B63FEC"/>
    <w:rsid w:val="00B648FE"/>
    <w:rsid w:val="00B64A21"/>
    <w:rsid w:val="00B6506F"/>
    <w:rsid w:val="00B65180"/>
    <w:rsid w:val="00B65AF5"/>
    <w:rsid w:val="00B6680A"/>
    <w:rsid w:val="00B6686A"/>
    <w:rsid w:val="00B67B9C"/>
    <w:rsid w:val="00B700A9"/>
    <w:rsid w:val="00B72725"/>
    <w:rsid w:val="00B72940"/>
    <w:rsid w:val="00B729B7"/>
    <w:rsid w:val="00B731A1"/>
    <w:rsid w:val="00B743B6"/>
    <w:rsid w:val="00B75178"/>
    <w:rsid w:val="00B752EF"/>
    <w:rsid w:val="00B755CF"/>
    <w:rsid w:val="00B75927"/>
    <w:rsid w:val="00B76606"/>
    <w:rsid w:val="00B76DC1"/>
    <w:rsid w:val="00B800F9"/>
    <w:rsid w:val="00B809F2"/>
    <w:rsid w:val="00B811D5"/>
    <w:rsid w:val="00B81344"/>
    <w:rsid w:val="00B83875"/>
    <w:rsid w:val="00B8507E"/>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230E"/>
    <w:rsid w:val="00BA2B8F"/>
    <w:rsid w:val="00BA46D9"/>
    <w:rsid w:val="00BA57D8"/>
    <w:rsid w:val="00BA6274"/>
    <w:rsid w:val="00BA66B9"/>
    <w:rsid w:val="00BB0237"/>
    <w:rsid w:val="00BB219B"/>
    <w:rsid w:val="00BB261F"/>
    <w:rsid w:val="00BB36ED"/>
    <w:rsid w:val="00BB456F"/>
    <w:rsid w:val="00BB66F2"/>
    <w:rsid w:val="00BB68B5"/>
    <w:rsid w:val="00BB78D8"/>
    <w:rsid w:val="00BB7944"/>
    <w:rsid w:val="00BB7C3A"/>
    <w:rsid w:val="00BC034A"/>
    <w:rsid w:val="00BC0503"/>
    <w:rsid w:val="00BC0514"/>
    <w:rsid w:val="00BC11B5"/>
    <w:rsid w:val="00BC1541"/>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5F9D"/>
    <w:rsid w:val="00BD683F"/>
    <w:rsid w:val="00BD795F"/>
    <w:rsid w:val="00BD7EA7"/>
    <w:rsid w:val="00BD7F87"/>
    <w:rsid w:val="00BE0AFA"/>
    <w:rsid w:val="00BE10C6"/>
    <w:rsid w:val="00BE130B"/>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7E1"/>
    <w:rsid w:val="00C11C58"/>
    <w:rsid w:val="00C12415"/>
    <w:rsid w:val="00C12A81"/>
    <w:rsid w:val="00C12F45"/>
    <w:rsid w:val="00C1428B"/>
    <w:rsid w:val="00C175CC"/>
    <w:rsid w:val="00C17C51"/>
    <w:rsid w:val="00C201F7"/>
    <w:rsid w:val="00C20E83"/>
    <w:rsid w:val="00C222CE"/>
    <w:rsid w:val="00C23855"/>
    <w:rsid w:val="00C25AA0"/>
    <w:rsid w:val="00C25C4C"/>
    <w:rsid w:val="00C25E5F"/>
    <w:rsid w:val="00C271A7"/>
    <w:rsid w:val="00C27293"/>
    <w:rsid w:val="00C276FA"/>
    <w:rsid w:val="00C27701"/>
    <w:rsid w:val="00C27B81"/>
    <w:rsid w:val="00C3098D"/>
    <w:rsid w:val="00C30ED7"/>
    <w:rsid w:val="00C32604"/>
    <w:rsid w:val="00C3267D"/>
    <w:rsid w:val="00C32D9E"/>
    <w:rsid w:val="00C33A75"/>
    <w:rsid w:val="00C34847"/>
    <w:rsid w:val="00C34A21"/>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319"/>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5AD0"/>
    <w:rsid w:val="00C65C4B"/>
    <w:rsid w:val="00C66DAD"/>
    <w:rsid w:val="00C674CD"/>
    <w:rsid w:val="00C7049D"/>
    <w:rsid w:val="00C7157C"/>
    <w:rsid w:val="00C717FA"/>
    <w:rsid w:val="00C723B0"/>
    <w:rsid w:val="00C72C2C"/>
    <w:rsid w:val="00C73144"/>
    <w:rsid w:val="00C73149"/>
    <w:rsid w:val="00C7371D"/>
    <w:rsid w:val="00C73C5C"/>
    <w:rsid w:val="00C74AE3"/>
    <w:rsid w:val="00C80338"/>
    <w:rsid w:val="00C81C0C"/>
    <w:rsid w:val="00C82F20"/>
    <w:rsid w:val="00C83556"/>
    <w:rsid w:val="00C85B40"/>
    <w:rsid w:val="00C9020F"/>
    <w:rsid w:val="00C9039C"/>
    <w:rsid w:val="00C92CC1"/>
    <w:rsid w:val="00C92DF8"/>
    <w:rsid w:val="00C93C71"/>
    <w:rsid w:val="00C945A0"/>
    <w:rsid w:val="00C94B17"/>
    <w:rsid w:val="00C9624A"/>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2DF1"/>
    <w:rsid w:val="00CB326F"/>
    <w:rsid w:val="00CB3683"/>
    <w:rsid w:val="00CB3ABC"/>
    <w:rsid w:val="00CB5258"/>
    <w:rsid w:val="00CB75C6"/>
    <w:rsid w:val="00CB7828"/>
    <w:rsid w:val="00CB7CD7"/>
    <w:rsid w:val="00CB7EC5"/>
    <w:rsid w:val="00CC00B5"/>
    <w:rsid w:val="00CC263B"/>
    <w:rsid w:val="00CC2CB7"/>
    <w:rsid w:val="00CC3052"/>
    <w:rsid w:val="00CC3247"/>
    <w:rsid w:val="00CC38FA"/>
    <w:rsid w:val="00CC5FD2"/>
    <w:rsid w:val="00CC6517"/>
    <w:rsid w:val="00CC6AD0"/>
    <w:rsid w:val="00CC7292"/>
    <w:rsid w:val="00CC7ADF"/>
    <w:rsid w:val="00CD1996"/>
    <w:rsid w:val="00CD2447"/>
    <w:rsid w:val="00CD312A"/>
    <w:rsid w:val="00CD77FD"/>
    <w:rsid w:val="00CD7F61"/>
    <w:rsid w:val="00CE0DD6"/>
    <w:rsid w:val="00CE0E7A"/>
    <w:rsid w:val="00CE0EBF"/>
    <w:rsid w:val="00CE1EA8"/>
    <w:rsid w:val="00CE3A00"/>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42C3"/>
    <w:rsid w:val="00D04462"/>
    <w:rsid w:val="00D0466A"/>
    <w:rsid w:val="00D04995"/>
    <w:rsid w:val="00D04CC5"/>
    <w:rsid w:val="00D056B2"/>
    <w:rsid w:val="00D06704"/>
    <w:rsid w:val="00D072D3"/>
    <w:rsid w:val="00D074C0"/>
    <w:rsid w:val="00D075D9"/>
    <w:rsid w:val="00D1117C"/>
    <w:rsid w:val="00D115F8"/>
    <w:rsid w:val="00D11AF4"/>
    <w:rsid w:val="00D11F10"/>
    <w:rsid w:val="00D12127"/>
    <w:rsid w:val="00D131D1"/>
    <w:rsid w:val="00D13B4E"/>
    <w:rsid w:val="00D15480"/>
    <w:rsid w:val="00D16427"/>
    <w:rsid w:val="00D1730D"/>
    <w:rsid w:val="00D21E02"/>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49EC"/>
    <w:rsid w:val="00D35437"/>
    <w:rsid w:val="00D357C4"/>
    <w:rsid w:val="00D35CCF"/>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3B5C"/>
    <w:rsid w:val="00D55755"/>
    <w:rsid w:val="00D56169"/>
    <w:rsid w:val="00D563A9"/>
    <w:rsid w:val="00D5655C"/>
    <w:rsid w:val="00D60B84"/>
    <w:rsid w:val="00D622D0"/>
    <w:rsid w:val="00D623BC"/>
    <w:rsid w:val="00D6260E"/>
    <w:rsid w:val="00D63481"/>
    <w:rsid w:val="00D64C67"/>
    <w:rsid w:val="00D64FFB"/>
    <w:rsid w:val="00D658F2"/>
    <w:rsid w:val="00D665D7"/>
    <w:rsid w:val="00D70708"/>
    <w:rsid w:val="00D710B8"/>
    <w:rsid w:val="00D712E9"/>
    <w:rsid w:val="00D72327"/>
    <w:rsid w:val="00D72B03"/>
    <w:rsid w:val="00D73CF1"/>
    <w:rsid w:val="00D7423A"/>
    <w:rsid w:val="00D74275"/>
    <w:rsid w:val="00D76073"/>
    <w:rsid w:val="00D8277B"/>
    <w:rsid w:val="00D82B2C"/>
    <w:rsid w:val="00D84884"/>
    <w:rsid w:val="00D859E3"/>
    <w:rsid w:val="00D8605F"/>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3F1"/>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1809"/>
    <w:rsid w:val="00DD29F8"/>
    <w:rsid w:val="00DD36DF"/>
    <w:rsid w:val="00DD3BB8"/>
    <w:rsid w:val="00DD3CC2"/>
    <w:rsid w:val="00DD4708"/>
    <w:rsid w:val="00DD5480"/>
    <w:rsid w:val="00DD6C05"/>
    <w:rsid w:val="00DE0182"/>
    <w:rsid w:val="00DE0B7C"/>
    <w:rsid w:val="00DE107E"/>
    <w:rsid w:val="00DE2814"/>
    <w:rsid w:val="00DE38D9"/>
    <w:rsid w:val="00DE4247"/>
    <w:rsid w:val="00DE7357"/>
    <w:rsid w:val="00DE74A4"/>
    <w:rsid w:val="00DF077F"/>
    <w:rsid w:val="00DF1375"/>
    <w:rsid w:val="00DF1C46"/>
    <w:rsid w:val="00DF2504"/>
    <w:rsid w:val="00DF2E5C"/>
    <w:rsid w:val="00DF2F47"/>
    <w:rsid w:val="00DF3538"/>
    <w:rsid w:val="00DF397C"/>
    <w:rsid w:val="00DF5A47"/>
    <w:rsid w:val="00DF6C7A"/>
    <w:rsid w:val="00DF7006"/>
    <w:rsid w:val="00DF7832"/>
    <w:rsid w:val="00E00A5F"/>
    <w:rsid w:val="00E010BD"/>
    <w:rsid w:val="00E01EF7"/>
    <w:rsid w:val="00E02932"/>
    <w:rsid w:val="00E03EC8"/>
    <w:rsid w:val="00E0440D"/>
    <w:rsid w:val="00E04E4C"/>
    <w:rsid w:val="00E05703"/>
    <w:rsid w:val="00E05A34"/>
    <w:rsid w:val="00E07464"/>
    <w:rsid w:val="00E101E2"/>
    <w:rsid w:val="00E107DD"/>
    <w:rsid w:val="00E1139E"/>
    <w:rsid w:val="00E12FDE"/>
    <w:rsid w:val="00E13FC3"/>
    <w:rsid w:val="00E14BDB"/>
    <w:rsid w:val="00E200B8"/>
    <w:rsid w:val="00E20BBA"/>
    <w:rsid w:val="00E210AE"/>
    <w:rsid w:val="00E217FA"/>
    <w:rsid w:val="00E2343C"/>
    <w:rsid w:val="00E2343E"/>
    <w:rsid w:val="00E23BD3"/>
    <w:rsid w:val="00E247C3"/>
    <w:rsid w:val="00E2549C"/>
    <w:rsid w:val="00E25BF8"/>
    <w:rsid w:val="00E26031"/>
    <w:rsid w:val="00E263B6"/>
    <w:rsid w:val="00E3116F"/>
    <w:rsid w:val="00E31BB7"/>
    <w:rsid w:val="00E3272D"/>
    <w:rsid w:val="00E32E30"/>
    <w:rsid w:val="00E3420A"/>
    <w:rsid w:val="00E350A2"/>
    <w:rsid w:val="00E353E1"/>
    <w:rsid w:val="00E37072"/>
    <w:rsid w:val="00E37E86"/>
    <w:rsid w:val="00E40768"/>
    <w:rsid w:val="00E418B6"/>
    <w:rsid w:val="00E440A1"/>
    <w:rsid w:val="00E441AA"/>
    <w:rsid w:val="00E46136"/>
    <w:rsid w:val="00E46C3D"/>
    <w:rsid w:val="00E47B41"/>
    <w:rsid w:val="00E50472"/>
    <w:rsid w:val="00E50893"/>
    <w:rsid w:val="00E51A06"/>
    <w:rsid w:val="00E51D44"/>
    <w:rsid w:val="00E52572"/>
    <w:rsid w:val="00E53F67"/>
    <w:rsid w:val="00E54896"/>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D79"/>
    <w:rsid w:val="00E77F03"/>
    <w:rsid w:val="00E82C6E"/>
    <w:rsid w:val="00E83078"/>
    <w:rsid w:val="00E830A9"/>
    <w:rsid w:val="00E835B4"/>
    <w:rsid w:val="00E85AAA"/>
    <w:rsid w:val="00E86399"/>
    <w:rsid w:val="00E864D2"/>
    <w:rsid w:val="00E90075"/>
    <w:rsid w:val="00E9028F"/>
    <w:rsid w:val="00E90381"/>
    <w:rsid w:val="00E907AE"/>
    <w:rsid w:val="00E91376"/>
    <w:rsid w:val="00E91EC4"/>
    <w:rsid w:val="00E92591"/>
    <w:rsid w:val="00E92AE2"/>
    <w:rsid w:val="00E936F2"/>
    <w:rsid w:val="00E94957"/>
    <w:rsid w:val="00E94C2B"/>
    <w:rsid w:val="00E95AF9"/>
    <w:rsid w:val="00E95D83"/>
    <w:rsid w:val="00E97818"/>
    <w:rsid w:val="00EA0012"/>
    <w:rsid w:val="00EA29BF"/>
    <w:rsid w:val="00EA33BB"/>
    <w:rsid w:val="00EA4358"/>
    <w:rsid w:val="00EA5C5F"/>
    <w:rsid w:val="00EA6C58"/>
    <w:rsid w:val="00EB0473"/>
    <w:rsid w:val="00EB0AA0"/>
    <w:rsid w:val="00EB28A8"/>
    <w:rsid w:val="00EB2B42"/>
    <w:rsid w:val="00EB3A29"/>
    <w:rsid w:val="00EB3A58"/>
    <w:rsid w:val="00EB4D4C"/>
    <w:rsid w:val="00EB7825"/>
    <w:rsid w:val="00EC2F63"/>
    <w:rsid w:val="00EC30E7"/>
    <w:rsid w:val="00EC3491"/>
    <w:rsid w:val="00EC39D7"/>
    <w:rsid w:val="00EC5C3C"/>
    <w:rsid w:val="00EC6793"/>
    <w:rsid w:val="00EC6D07"/>
    <w:rsid w:val="00EC7671"/>
    <w:rsid w:val="00ED023F"/>
    <w:rsid w:val="00ED0A11"/>
    <w:rsid w:val="00ED23CC"/>
    <w:rsid w:val="00ED2653"/>
    <w:rsid w:val="00ED2F28"/>
    <w:rsid w:val="00EE0C5F"/>
    <w:rsid w:val="00EE1CD1"/>
    <w:rsid w:val="00EE22B5"/>
    <w:rsid w:val="00EE2B45"/>
    <w:rsid w:val="00EE2CDB"/>
    <w:rsid w:val="00EE30CF"/>
    <w:rsid w:val="00EE3DE2"/>
    <w:rsid w:val="00EE4F46"/>
    <w:rsid w:val="00EE6DB0"/>
    <w:rsid w:val="00EE7063"/>
    <w:rsid w:val="00EE74FA"/>
    <w:rsid w:val="00EF1357"/>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2C"/>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30EC"/>
    <w:rsid w:val="00F24335"/>
    <w:rsid w:val="00F24ADC"/>
    <w:rsid w:val="00F26D26"/>
    <w:rsid w:val="00F31D6D"/>
    <w:rsid w:val="00F32028"/>
    <w:rsid w:val="00F330DC"/>
    <w:rsid w:val="00F33687"/>
    <w:rsid w:val="00F33D40"/>
    <w:rsid w:val="00F3465F"/>
    <w:rsid w:val="00F35487"/>
    <w:rsid w:val="00F370BA"/>
    <w:rsid w:val="00F37739"/>
    <w:rsid w:val="00F40119"/>
    <w:rsid w:val="00F41C4D"/>
    <w:rsid w:val="00F41FA2"/>
    <w:rsid w:val="00F429AE"/>
    <w:rsid w:val="00F42D58"/>
    <w:rsid w:val="00F43A7D"/>
    <w:rsid w:val="00F43D77"/>
    <w:rsid w:val="00F4499C"/>
    <w:rsid w:val="00F44B46"/>
    <w:rsid w:val="00F44DE6"/>
    <w:rsid w:val="00F4575B"/>
    <w:rsid w:val="00F45ED5"/>
    <w:rsid w:val="00F4622D"/>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70907"/>
    <w:rsid w:val="00F70DAD"/>
    <w:rsid w:val="00F710AE"/>
    <w:rsid w:val="00F72B0F"/>
    <w:rsid w:val="00F73A24"/>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44C6"/>
    <w:rsid w:val="00F95160"/>
    <w:rsid w:val="00F965AB"/>
    <w:rsid w:val="00F97BBC"/>
    <w:rsid w:val="00FA0371"/>
    <w:rsid w:val="00FA06EA"/>
    <w:rsid w:val="00FA16D9"/>
    <w:rsid w:val="00FA1935"/>
    <w:rsid w:val="00FA1A8D"/>
    <w:rsid w:val="00FA1F98"/>
    <w:rsid w:val="00FA2956"/>
    <w:rsid w:val="00FA37D3"/>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4FEF"/>
    <w:rsid w:val="00FC5B23"/>
    <w:rsid w:val="00FC5BF2"/>
    <w:rsid w:val="00FC5C81"/>
    <w:rsid w:val="00FC5F13"/>
    <w:rsid w:val="00FC6435"/>
    <w:rsid w:val="00FC6F78"/>
    <w:rsid w:val="00FC721C"/>
    <w:rsid w:val="00FD0077"/>
    <w:rsid w:val="00FD19BD"/>
    <w:rsid w:val="00FD1D3A"/>
    <w:rsid w:val="00FD4A14"/>
    <w:rsid w:val="00FD4EC8"/>
    <w:rsid w:val="00FD524D"/>
    <w:rsid w:val="00FD53A3"/>
    <w:rsid w:val="00FD54AF"/>
    <w:rsid w:val="00FD5867"/>
    <w:rsid w:val="00FD5F64"/>
    <w:rsid w:val="00FD748C"/>
    <w:rsid w:val="00FD7B45"/>
    <w:rsid w:val="00FE0FC2"/>
    <w:rsid w:val="00FE10F0"/>
    <w:rsid w:val="00FE2B2D"/>
    <w:rsid w:val="00FE30E8"/>
    <w:rsid w:val="00FE4A12"/>
    <w:rsid w:val="00FE4C50"/>
    <w:rsid w:val="00FE5223"/>
    <w:rsid w:val="00FE7FD8"/>
    <w:rsid w:val="00FF039A"/>
    <w:rsid w:val="00FF0AD6"/>
    <w:rsid w:val="00FF15E7"/>
    <w:rsid w:val="00FF1B74"/>
    <w:rsid w:val="00FF253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8A4DA548-9DD7-4587-A87D-8C5DFA01B6B1}"/>
</file>

<file path=customXml/itemProps3.xml><?xml version="1.0" encoding="utf-8"?>
<ds:datastoreItem xmlns:ds="http://schemas.openxmlformats.org/officeDocument/2006/customXml" ds:itemID="{56DEC8FB-2F9F-4E2C-9B24-39AF868D28B2}"/>
</file>

<file path=customXml/itemProps4.xml><?xml version="1.0" encoding="utf-8"?>
<ds:datastoreItem xmlns:ds="http://schemas.openxmlformats.org/officeDocument/2006/customXml" ds:itemID="{4D71B1C3-D1A4-4426-9E3D-BA4614310534}"/>
</file>

<file path=docProps/app.xml><?xml version="1.0" encoding="utf-8"?>
<Properties xmlns="http://schemas.openxmlformats.org/officeDocument/2006/extended-properties" xmlns:vt="http://schemas.openxmlformats.org/officeDocument/2006/docPropsVTypes">
  <Template>Normal</Template>
  <TotalTime>3</TotalTime>
  <Pages>14</Pages>
  <Words>3172</Words>
  <Characters>18085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2025-02-18T07:22:00Z</dcterms:created>
  <dcterms:modified xsi:type="dcterms:W3CDTF">2025-02-18T07:22:00Z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